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85CD7" w14:textId="7D08855C" w:rsidR="009672B0" w:rsidRDefault="009672B0" w:rsidP="00D07386">
      <w:pPr>
        <w:widowControl w:val="0"/>
        <w:tabs>
          <w:tab w:val="center" w:pos="4550"/>
          <w:tab w:val="center" w:pos="7200"/>
          <w:tab w:val="right" w:pos="9101"/>
        </w:tabs>
        <w:spacing w:before="120" w:after="0" w:line="240" w:lineRule="auto"/>
        <w:ind w:left="360" w:right="-81"/>
        <w:jc w:val="center"/>
        <w:rPr>
          <w:rFonts w:ascii="Clash Display Medium" w:eastAsia="Trivia Grotesk X2" w:hAnsi="Clash Display Medium" w:cs="Trivia Grotesk X2"/>
          <w:b/>
          <w:sz w:val="44"/>
          <w:szCs w:val="36"/>
        </w:rPr>
      </w:pPr>
      <w:r w:rsidRPr="00C359EC">
        <w:rPr>
          <w:noProof/>
          <w:sz w:val="36"/>
        </w:rPr>
        <w:drawing>
          <wp:anchor distT="0" distB="0" distL="114300" distR="114300" simplePos="0" relativeHeight="251659264" behindDoc="1" locked="0" layoutInCell="1" allowOverlap="1" wp14:anchorId="1CF1B2D4" wp14:editId="1F776EC2">
            <wp:simplePos x="0" y="0"/>
            <wp:positionH relativeFrom="column">
              <wp:posOffset>-952500</wp:posOffset>
            </wp:positionH>
            <wp:positionV relativeFrom="paragraph">
              <wp:posOffset>-918845</wp:posOffset>
            </wp:positionV>
            <wp:extent cx="7587615" cy="3295650"/>
            <wp:effectExtent l="0" t="0" r="0" b="0"/>
            <wp:wrapNone/>
            <wp:docPr id="2118691008" name="Picture 1" descr="A blue and white wavy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91008" name="Picture 1" descr="A blue and white wavy lines&#10;&#10;Description automatically generated"/>
                    <pic:cNvPicPr/>
                  </pic:nvPicPr>
                  <pic:blipFill rotWithShape="1">
                    <a:blip r:embed="rId9" cstate="print">
                      <a:extLst>
                        <a:ext uri="{28A0092B-C50C-407E-A947-70E740481C1C}">
                          <a14:useLocalDpi xmlns:a14="http://schemas.microsoft.com/office/drawing/2010/main" val="0"/>
                        </a:ext>
                      </a:extLst>
                    </a:blip>
                    <a:srcRect b="22767"/>
                    <a:stretch/>
                  </pic:blipFill>
                  <pic:spPr bwMode="auto">
                    <a:xfrm>
                      <a:off x="0" y="0"/>
                      <a:ext cx="7587615" cy="3295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D5C18C" w14:textId="00955C74" w:rsidR="00CD19CF" w:rsidRPr="00D07386" w:rsidRDefault="00CD19CF" w:rsidP="00D07386">
      <w:pPr>
        <w:widowControl w:val="0"/>
        <w:tabs>
          <w:tab w:val="center" w:pos="4550"/>
          <w:tab w:val="center" w:pos="7200"/>
          <w:tab w:val="right" w:pos="9101"/>
        </w:tabs>
        <w:spacing w:before="120" w:after="0" w:line="240" w:lineRule="auto"/>
        <w:ind w:left="360" w:right="-81"/>
        <w:jc w:val="center"/>
        <w:rPr>
          <w:rFonts w:ascii="Clash Display Medium" w:eastAsia="Trivia Grotesk X2" w:hAnsi="Clash Display Medium" w:cs="Trivia Grotesk X2"/>
          <w:b/>
          <w:sz w:val="44"/>
          <w:szCs w:val="36"/>
          <w:lang w:val="en-US"/>
        </w:rPr>
      </w:pPr>
      <w:r w:rsidRPr="00D07386">
        <w:rPr>
          <w:rFonts w:ascii="Clash Display Medium" w:eastAsia="Trivia Grotesk X2" w:hAnsi="Clash Display Medium" w:cs="Trivia Grotesk X2"/>
          <w:b/>
          <w:sz w:val="44"/>
          <w:szCs w:val="36"/>
          <w:lang w:val="en-US"/>
        </w:rPr>
        <w:t>Statement on Fraud Prevention Measures</w:t>
      </w:r>
    </w:p>
    <w:p w14:paraId="41C694DB" w14:textId="77777777" w:rsidR="00C359EC" w:rsidRDefault="00C359EC" w:rsidP="00D07386">
      <w:pPr>
        <w:widowControl w:val="0"/>
        <w:tabs>
          <w:tab w:val="center" w:pos="4550"/>
          <w:tab w:val="center" w:pos="7200"/>
          <w:tab w:val="right" w:pos="9101"/>
        </w:tabs>
        <w:spacing w:before="120" w:after="0" w:line="240" w:lineRule="auto"/>
        <w:ind w:right="-81"/>
        <w:jc w:val="center"/>
        <w:rPr>
          <w:rFonts w:ascii="Trivia Grotesk X2" w:eastAsia="Trivia Grotesk X2" w:hAnsi="Trivia Grotesk X2" w:cs="Trivia Grotesk X2"/>
          <w:b/>
          <w:lang w:val="en-US"/>
        </w:rPr>
      </w:pPr>
    </w:p>
    <w:p w14:paraId="705A15AB" w14:textId="77777777" w:rsidR="00C359EC" w:rsidRDefault="00C359EC" w:rsidP="00D07386">
      <w:pPr>
        <w:widowControl w:val="0"/>
        <w:tabs>
          <w:tab w:val="center" w:pos="4550"/>
          <w:tab w:val="center" w:pos="7200"/>
          <w:tab w:val="right" w:pos="9101"/>
        </w:tabs>
        <w:spacing w:before="120" w:after="0" w:line="240" w:lineRule="auto"/>
        <w:ind w:right="-81"/>
        <w:jc w:val="center"/>
        <w:rPr>
          <w:rFonts w:ascii="Trivia Grotesk X2" w:eastAsia="Trivia Grotesk X2" w:hAnsi="Trivia Grotesk X2" w:cs="Trivia Grotesk X2"/>
          <w:b/>
          <w:lang w:val="en-US"/>
        </w:rPr>
      </w:pPr>
    </w:p>
    <w:p w14:paraId="5FDFB624" w14:textId="77777777" w:rsidR="00C359EC" w:rsidRDefault="00C359EC" w:rsidP="00D07386">
      <w:pPr>
        <w:widowControl w:val="0"/>
        <w:tabs>
          <w:tab w:val="center" w:pos="4550"/>
          <w:tab w:val="center" w:pos="7200"/>
          <w:tab w:val="right" w:pos="9101"/>
        </w:tabs>
        <w:spacing w:before="120" w:after="0" w:line="240" w:lineRule="auto"/>
        <w:ind w:right="-81"/>
        <w:jc w:val="center"/>
        <w:rPr>
          <w:rFonts w:ascii="Trivia Grotesk X2" w:eastAsia="Trivia Grotesk X2" w:hAnsi="Trivia Grotesk X2" w:cs="Trivia Grotesk X2"/>
          <w:b/>
          <w:lang w:val="en-US"/>
        </w:rPr>
      </w:pPr>
    </w:p>
    <w:p w14:paraId="258CE030" w14:textId="77777777" w:rsidR="00C359EC" w:rsidRDefault="00C359EC" w:rsidP="00D07386">
      <w:pPr>
        <w:widowControl w:val="0"/>
        <w:tabs>
          <w:tab w:val="center" w:pos="4550"/>
          <w:tab w:val="center" w:pos="7200"/>
          <w:tab w:val="right" w:pos="9101"/>
        </w:tabs>
        <w:spacing w:before="120" w:after="0" w:line="240" w:lineRule="auto"/>
        <w:ind w:right="-81"/>
        <w:jc w:val="center"/>
        <w:rPr>
          <w:rFonts w:ascii="Trivia Grotesk X2" w:eastAsia="Trivia Grotesk X2" w:hAnsi="Trivia Grotesk X2" w:cs="Trivia Grotesk X2"/>
          <w:b/>
          <w:lang w:val="en-US"/>
        </w:rPr>
      </w:pPr>
    </w:p>
    <w:p w14:paraId="7FE7B432" w14:textId="77777777" w:rsidR="00C359EC" w:rsidRDefault="00C359EC" w:rsidP="00D07386">
      <w:pPr>
        <w:widowControl w:val="0"/>
        <w:tabs>
          <w:tab w:val="center" w:pos="4550"/>
          <w:tab w:val="center" w:pos="7200"/>
          <w:tab w:val="right" w:pos="9101"/>
        </w:tabs>
        <w:spacing w:before="120" w:after="0" w:line="240" w:lineRule="auto"/>
        <w:ind w:right="-81"/>
        <w:jc w:val="center"/>
        <w:rPr>
          <w:rFonts w:ascii="Trivia Grotesk X2" w:eastAsia="Trivia Grotesk X2" w:hAnsi="Trivia Grotesk X2" w:cs="Trivia Grotesk X2"/>
          <w:b/>
          <w:lang w:val="en-US"/>
        </w:rPr>
      </w:pPr>
    </w:p>
    <w:p w14:paraId="025FD599" w14:textId="77777777" w:rsidR="009672B0" w:rsidRDefault="009672B0" w:rsidP="00D07386">
      <w:pPr>
        <w:widowControl w:val="0"/>
        <w:tabs>
          <w:tab w:val="center" w:pos="4550"/>
          <w:tab w:val="center" w:pos="7200"/>
          <w:tab w:val="right" w:pos="9101"/>
        </w:tabs>
        <w:spacing w:before="120" w:after="0" w:line="240" w:lineRule="auto"/>
        <w:ind w:right="-81"/>
        <w:jc w:val="center"/>
        <w:rPr>
          <w:rFonts w:ascii="Trivia Grotesk X2" w:eastAsia="Trivia Grotesk X2" w:hAnsi="Trivia Grotesk X2" w:cs="Trivia Grotesk X2"/>
          <w:b/>
          <w:lang w:val="en-US"/>
        </w:rPr>
      </w:pPr>
    </w:p>
    <w:p w14:paraId="4A6E3F3A" w14:textId="77777777" w:rsidR="009672B0" w:rsidRPr="000853B3" w:rsidRDefault="009672B0" w:rsidP="00D07386">
      <w:pPr>
        <w:widowControl w:val="0"/>
        <w:tabs>
          <w:tab w:val="center" w:pos="4550"/>
          <w:tab w:val="center" w:pos="7200"/>
          <w:tab w:val="right" w:pos="9101"/>
        </w:tabs>
        <w:spacing w:before="120" w:after="0" w:line="240" w:lineRule="auto"/>
        <w:ind w:right="-81"/>
        <w:jc w:val="center"/>
        <w:rPr>
          <w:rFonts w:ascii="Trivia Grotesk X2" w:eastAsia="Trivia Grotesk X2" w:hAnsi="Trivia Grotesk X2" w:cs="Trivia Grotesk X2"/>
          <w:b/>
          <w:lang w:val="en-US"/>
        </w:rPr>
      </w:pPr>
    </w:p>
    <w:p w14:paraId="0000004E" w14:textId="77777777" w:rsidR="000909A6" w:rsidRPr="00AA18E2" w:rsidRDefault="00000000" w:rsidP="00AA18E2">
      <w:pPr>
        <w:pStyle w:val="Heading1"/>
        <w:spacing w:before="240" w:after="240" w:line="276" w:lineRule="auto"/>
        <w:ind w:left="357"/>
        <w:jc w:val="both"/>
        <w:rPr>
          <w:rFonts w:ascii="Clash Display Medium" w:hAnsi="Clash Display Medium"/>
          <w:szCs w:val="24"/>
        </w:rPr>
      </w:pPr>
      <w:bookmarkStart w:id="0" w:name="_Toc173336799"/>
      <w:r w:rsidRPr="00AA18E2">
        <w:rPr>
          <w:rFonts w:ascii="Clash Display Medium" w:hAnsi="Clash Display Medium"/>
          <w:szCs w:val="24"/>
        </w:rPr>
        <w:t>General Provisions</w:t>
      </w:r>
      <w:bookmarkEnd w:id="0"/>
    </w:p>
    <w:p w14:paraId="6D6BC7E8" w14:textId="77777777" w:rsidR="00C359EC" w:rsidRPr="00AA18E2" w:rsidRDefault="00C359EC" w:rsidP="00AA18E2">
      <w:pPr>
        <w:spacing w:before="120" w:after="120" w:line="276" w:lineRule="auto"/>
        <w:ind w:left="357"/>
        <w:jc w:val="both"/>
        <w:rPr>
          <w:rFonts w:ascii="Figtree" w:eastAsia="Times New Roman" w:hAnsi="Figtree"/>
          <w:sz w:val="20"/>
          <w:szCs w:val="20"/>
          <w:lang w:val="en-150" w:eastAsia="en-150"/>
        </w:rPr>
      </w:pPr>
      <w:bookmarkStart w:id="1" w:name="_Toc173336800"/>
      <w:r w:rsidRPr="00AA18E2">
        <w:rPr>
          <w:rFonts w:ascii="Figtree" w:eastAsia="Times New Roman" w:hAnsi="Figtree"/>
          <w:sz w:val="20"/>
          <w:szCs w:val="20"/>
          <w:lang w:val="en-150" w:eastAsia="en-150"/>
        </w:rPr>
        <w:t>Fraud management is a continuous and essential part of our operations. We actively identify, assess, and monitor risks related to fraud to ensure we can effectively prevent and address any issues that may impact our goals.</w:t>
      </w:r>
    </w:p>
    <w:p w14:paraId="5AE10E0F" w14:textId="77777777" w:rsidR="00C359EC" w:rsidRPr="00AA18E2" w:rsidRDefault="00C359EC" w:rsidP="00AA18E2">
      <w:pPr>
        <w:spacing w:before="120" w:after="120" w:line="276" w:lineRule="auto"/>
        <w:ind w:left="357"/>
        <w:jc w:val="both"/>
        <w:rPr>
          <w:rFonts w:ascii="Figtree" w:eastAsia="Times New Roman" w:hAnsi="Figtree"/>
          <w:sz w:val="20"/>
          <w:szCs w:val="20"/>
          <w:lang w:val="en-150" w:eastAsia="en-150"/>
        </w:rPr>
      </w:pPr>
      <w:r w:rsidRPr="00AA18E2">
        <w:rPr>
          <w:rFonts w:ascii="Figtree" w:eastAsia="Times New Roman" w:hAnsi="Figtree"/>
          <w:sz w:val="20"/>
          <w:szCs w:val="20"/>
          <w:lang w:val="en-150" w:eastAsia="en-150"/>
        </w:rPr>
        <w:t>VIALET is dedicated to preventing fraud and has a strict zero-tolerance policy for any form of fraudulent activity, whether internal or external. We will thoroughly investigate any suspected or detected fraud.</w:t>
      </w:r>
    </w:p>
    <w:p w14:paraId="06E53C2E" w14:textId="77777777" w:rsidR="00C359EC" w:rsidRPr="00AA18E2" w:rsidRDefault="00C359EC" w:rsidP="00AA18E2">
      <w:pPr>
        <w:spacing w:before="120" w:after="120" w:line="276" w:lineRule="auto"/>
        <w:ind w:left="357"/>
        <w:jc w:val="both"/>
        <w:rPr>
          <w:rFonts w:ascii="Figtree" w:eastAsia="Times New Roman" w:hAnsi="Figtree"/>
          <w:sz w:val="20"/>
          <w:szCs w:val="20"/>
          <w:lang w:val="en-150" w:eastAsia="en-150"/>
        </w:rPr>
      </w:pPr>
      <w:r w:rsidRPr="00AA18E2">
        <w:rPr>
          <w:rFonts w:ascii="Figtree" w:eastAsia="Times New Roman" w:hAnsi="Figtree"/>
          <w:sz w:val="20"/>
          <w:szCs w:val="20"/>
          <w:lang w:val="en-150" w:eastAsia="en-150"/>
        </w:rPr>
        <w:t>We cooperate fully with law enforcement and regulatory authorities to handle and report fraud. We prioritize quick and transparent reporting to meet legal requirements and minimize any potential harm.</w:t>
      </w:r>
    </w:p>
    <w:p w14:paraId="00000053" w14:textId="77777777" w:rsidR="000909A6" w:rsidRPr="00AA18E2" w:rsidRDefault="00000000" w:rsidP="00AA18E2">
      <w:pPr>
        <w:pStyle w:val="Heading1"/>
        <w:spacing w:before="240" w:after="240" w:line="276" w:lineRule="auto"/>
        <w:ind w:left="357"/>
        <w:jc w:val="both"/>
        <w:rPr>
          <w:rFonts w:ascii="Clash Display Medium" w:hAnsi="Clash Display Medium"/>
          <w:szCs w:val="24"/>
        </w:rPr>
      </w:pPr>
      <w:r w:rsidRPr="00AA18E2">
        <w:rPr>
          <w:rFonts w:ascii="Clash Display Medium" w:hAnsi="Clash Display Medium"/>
          <w:szCs w:val="24"/>
        </w:rPr>
        <w:t>Scope</w:t>
      </w:r>
      <w:bookmarkEnd w:id="1"/>
    </w:p>
    <w:p w14:paraId="00000057" w14:textId="7D407040" w:rsidR="000909A6" w:rsidRPr="00AA18E2" w:rsidRDefault="00000000" w:rsidP="00AA18E2">
      <w:pPr>
        <w:pBdr>
          <w:top w:val="nil"/>
          <w:left w:val="nil"/>
          <w:bottom w:val="nil"/>
          <w:right w:val="nil"/>
          <w:between w:val="nil"/>
        </w:pBdr>
        <w:spacing w:before="120" w:after="120" w:line="276" w:lineRule="auto"/>
        <w:ind w:left="357"/>
        <w:jc w:val="both"/>
        <w:rPr>
          <w:rFonts w:ascii="Figtree" w:hAnsi="Figtree" w:cs="TTCommons-Regular"/>
          <w:color w:val="000000"/>
          <w:sz w:val="20"/>
          <w:szCs w:val="20"/>
        </w:rPr>
      </w:pPr>
      <w:r w:rsidRPr="00AA18E2">
        <w:rPr>
          <w:rFonts w:ascii="Figtree" w:hAnsi="Figtree" w:cs="TTCommons-Regular"/>
          <w:color w:val="000000"/>
          <w:sz w:val="20"/>
          <w:szCs w:val="20"/>
        </w:rPr>
        <w:t xml:space="preserve">The </w:t>
      </w:r>
      <w:r w:rsidR="000B2B65" w:rsidRPr="00AA18E2">
        <w:rPr>
          <w:rFonts w:ascii="Figtree" w:hAnsi="Figtree" w:cs="TTCommons-Regular"/>
          <w:color w:val="000000"/>
          <w:sz w:val="20"/>
          <w:szCs w:val="20"/>
        </w:rPr>
        <w:t>Statement</w:t>
      </w:r>
      <w:r w:rsidRPr="00AA18E2">
        <w:rPr>
          <w:rFonts w:ascii="Figtree" w:hAnsi="Figtree" w:cs="TTCommons-Regular"/>
          <w:color w:val="000000"/>
          <w:sz w:val="20"/>
          <w:szCs w:val="20"/>
        </w:rPr>
        <w:t xml:space="preserve"> applies to all aspects of the Company's operations and involves every member of the </w:t>
      </w:r>
      <w:r w:rsidRPr="00AA18E2">
        <w:rPr>
          <w:rFonts w:ascii="Figtree" w:hAnsi="Figtree"/>
          <w:sz w:val="20"/>
          <w:szCs w:val="20"/>
        </w:rPr>
        <w:t>organisation</w:t>
      </w:r>
      <w:r w:rsidRPr="00AA18E2">
        <w:rPr>
          <w:rFonts w:ascii="Figtree" w:hAnsi="Figtree" w:cs="TTCommons-Regular"/>
          <w:color w:val="000000"/>
          <w:sz w:val="20"/>
          <w:szCs w:val="20"/>
        </w:rPr>
        <w:t xml:space="preserve"> in preventing and detecting fraud, promoting a culture of vigilance and responsibility.</w:t>
      </w:r>
      <w:r w:rsidR="00FA3741" w:rsidRPr="00AA18E2">
        <w:rPr>
          <w:rFonts w:ascii="Figtree" w:hAnsi="Figtree" w:cs="TTCommons-Regular"/>
          <w:color w:val="000000"/>
          <w:sz w:val="20"/>
          <w:szCs w:val="20"/>
        </w:rPr>
        <w:t xml:space="preserve"> In addition, </w:t>
      </w:r>
      <w:r w:rsidR="00DF07C8" w:rsidRPr="00AA18E2">
        <w:rPr>
          <w:rFonts w:ascii="Figtree" w:hAnsi="Figtree" w:cs="TTCommons-Regular"/>
          <w:color w:val="000000"/>
          <w:sz w:val="20"/>
          <w:szCs w:val="20"/>
        </w:rPr>
        <w:t xml:space="preserve">the Statement </w:t>
      </w:r>
      <w:r w:rsidR="007F3334" w:rsidRPr="00AA18E2">
        <w:rPr>
          <w:rFonts w:ascii="Figtree" w:hAnsi="Figtree" w:cs="TTCommons-Regular"/>
          <w:color w:val="000000"/>
          <w:sz w:val="20"/>
          <w:szCs w:val="20"/>
        </w:rPr>
        <w:t xml:space="preserve">serves as an </w:t>
      </w:r>
      <w:r w:rsidR="00FA3741" w:rsidRPr="00AA18E2">
        <w:rPr>
          <w:rFonts w:ascii="Figtree" w:hAnsi="Figtree" w:cs="TTCommons-Regular"/>
          <w:color w:val="000000"/>
          <w:sz w:val="20"/>
          <w:szCs w:val="20"/>
        </w:rPr>
        <w:t>educating</w:t>
      </w:r>
      <w:r w:rsidR="007F3334" w:rsidRPr="00AA18E2">
        <w:rPr>
          <w:rFonts w:ascii="Figtree" w:hAnsi="Figtree" w:cs="TTCommons-Regular"/>
          <w:color w:val="000000"/>
          <w:sz w:val="20"/>
          <w:szCs w:val="20"/>
        </w:rPr>
        <w:t xml:space="preserve"> measure for</w:t>
      </w:r>
      <w:r w:rsidR="00FA3741" w:rsidRPr="00AA18E2">
        <w:rPr>
          <w:rFonts w:ascii="Figtree" w:hAnsi="Figtree" w:cs="TTCommons-Regular"/>
          <w:color w:val="000000"/>
          <w:sz w:val="20"/>
          <w:szCs w:val="20"/>
        </w:rPr>
        <w:t xml:space="preserve"> Company’s customers, employees, and shareholders.</w:t>
      </w:r>
    </w:p>
    <w:p w14:paraId="145DF596" w14:textId="77777777" w:rsidR="00AA18E2" w:rsidRDefault="00AA18E2" w:rsidP="00D07386">
      <w:pPr>
        <w:pBdr>
          <w:top w:val="nil"/>
          <w:left w:val="nil"/>
          <w:bottom w:val="nil"/>
          <w:right w:val="nil"/>
          <w:between w:val="nil"/>
        </w:pBdr>
        <w:spacing w:before="120" w:after="120" w:line="240" w:lineRule="auto"/>
        <w:ind w:left="360"/>
        <w:jc w:val="both"/>
        <w:rPr>
          <w:rFonts w:cs="TTCommons-Regular"/>
          <w:color w:val="000000"/>
          <w:sz w:val="20"/>
          <w:szCs w:val="20"/>
        </w:rPr>
        <w:sectPr w:rsidR="00AA18E2" w:rsidSect="00E73ED6">
          <w:footerReference w:type="default" r:id="rId10"/>
          <w:pgSz w:w="11906" w:h="16838"/>
          <w:pgMar w:top="1440" w:right="1440" w:bottom="1440" w:left="1440" w:header="709" w:footer="709" w:gutter="0"/>
          <w:cols w:space="720"/>
        </w:sectPr>
      </w:pPr>
    </w:p>
    <w:p w14:paraId="1105F441" w14:textId="77777777" w:rsidR="00AA18E2" w:rsidRPr="00D07386" w:rsidRDefault="00AA18E2" w:rsidP="00D07386">
      <w:pPr>
        <w:pBdr>
          <w:top w:val="nil"/>
          <w:left w:val="nil"/>
          <w:bottom w:val="nil"/>
          <w:right w:val="nil"/>
          <w:between w:val="nil"/>
        </w:pBdr>
        <w:spacing w:before="120" w:after="120" w:line="240" w:lineRule="auto"/>
        <w:ind w:left="360"/>
        <w:jc w:val="both"/>
        <w:rPr>
          <w:rFonts w:cs="TTCommons-Regular"/>
          <w:color w:val="000000"/>
          <w:sz w:val="20"/>
          <w:szCs w:val="20"/>
        </w:rPr>
      </w:pPr>
    </w:p>
    <w:p w14:paraId="000000C6" w14:textId="77777777" w:rsidR="000909A6" w:rsidRPr="00AA18E2" w:rsidRDefault="00000000" w:rsidP="00AA18E2">
      <w:pPr>
        <w:pStyle w:val="Heading1"/>
        <w:spacing w:before="240" w:after="240" w:line="276" w:lineRule="auto"/>
        <w:ind w:left="357"/>
        <w:jc w:val="both"/>
        <w:rPr>
          <w:rFonts w:ascii="Clash Display Medium" w:hAnsi="Clash Display Medium"/>
          <w:szCs w:val="24"/>
        </w:rPr>
      </w:pPr>
      <w:bookmarkStart w:id="2" w:name="_Toc173336802"/>
      <w:r w:rsidRPr="00AA18E2">
        <w:rPr>
          <w:rFonts w:ascii="Clash Display Medium" w:hAnsi="Clash Display Medium"/>
          <w:szCs w:val="24"/>
        </w:rPr>
        <w:t>Requested information/documentation from customers</w:t>
      </w:r>
      <w:bookmarkEnd w:id="2"/>
    </w:p>
    <w:p w14:paraId="5DDBC82D" w14:textId="77777777" w:rsidR="0057176F" w:rsidRPr="0057176F" w:rsidRDefault="0057176F" w:rsidP="00AA18E2">
      <w:pPr>
        <w:pBdr>
          <w:top w:val="nil"/>
          <w:left w:val="nil"/>
          <w:bottom w:val="nil"/>
          <w:right w:val="nil"/>
          <w:between w:val="nil"/>
        </w:pBdr>
        <w:spacing w:before="120" w:after="120" w:line="276" w:lineRule="auto"/>
        <w:ind w:left="357"/>
        <w:jc w:val="both"/>
        <w:rPr>
          <w:rFonts w:ascii="Figtree" w:hAnsi="Figtree" w:cs="TTCommons-Regular"/>
          <w:color w:val="000000"/>
          <w:sz w:val="20"/>
          <w:szCs w:val="20"/>
          <w:lang w:val="en-150"/>
        </w:rPr>
      </w:pPr>
      <w:r w:rsidRPr="0057176F">
        <w:rPr>
          <w:rFonts w:ascii="Figtree" w:hAnsi="Figtree" w:cs="TTCommons-Regular"/>
          <w:color w:val="000000"/>
          <w:sz w:val="20"/>
          <w:szCs w:val="20"/>
          <w:lang w:val="en-150"/>
        </w:rPr>
        <w:t>When requesting information from a customer due to potential fraud, VIALET shall provide a detailed explanation of the specific documents and information required. This includes outlining the content, format, and issuing authorities of the documents.</w:t>
      </w:r>
    </w:p>
    <w:p w14:paraId="215FA6CD" w14:textId="3F3443CA" w:rsidR="0057176F" w:rsidRPr="00AA18E2" w:rsidRDefault="0057176F" w:rsidP="00AA18E2">
      <w:pPr>
        <w:pBdr>
          <w:top w:val="nil"/>
          <w:left w:val="nil"/>
          <w:bottom w:val="nil"/>
          <w:right w:val="nil"/>
          <w:between w:val="nil"/>
        </w:pBdr>
        <w:spacing w:before="120" w:after="120" w:line="276" w:lineRule="auto"/>
        <w:ind w:left="357"/>
        <w:jc w:val="both"/>
        <w:rPr>
          <w:rFonts w:ascii="Figtree" w:hAnsi="Figtree" w:cs="TTCommons-Regular"/>
          <w:color w:val="000000"/>
          <w:sz w:val="20"/>
          <w:szCs w:val="20"/>
          <w:lang w:val="en-150"/>
        </w:rPr>
      </w:pPr>
      <w:r w:rsidRPr="0057176F">
        <w:rPr>
          <w:rFonts w:ascii="Figtree" w:hAnsi="Figtree" w:cs="TTCommons-Regular"/>
          <w:color w:val="000000"/>
          <w:sz w:val="20"/>
          <w:szCs w:val="20"/>
          <w:lang w:val="en-150"/>
        </w:rPr>
        <w:t>Regular contact shall be maintained with the customer regarding the requested documentation. If the customer is unable to provide the exact documents in the specified format, alternatives that offer equivalent information can be arranged. Customers are welcome to seek further clarification or guidance as needed.</w:t>
      </w:r>
    </w:p>
    <w:p w14:paraId="000000CC" w14:textId="77777777" w:rsidR="000909A6" w:rsidRPr="00AA18E2" w:rsidRDefault="00000000" w:rsidP="00AA18E2">
      <w:pPr>
        <w:pStyle w:val="Heading1"/>
        <w:spacing w:before="240" w:after="240" w:line="276" w:lineRule="auto"/>
        <w:ind w:left="357"/>
        <w:jc w:val="both"/>
        <w:rPr>
          <w:rFonts w:ascii="Clash Display Medium" w:hAnsi="Clash Display Medium"/>
          <w:szCs w:val="24"/>
        </w:rPr>
      </w:pPr>
      <w:bookmarkStart w:id="3" w:name="_Toc173336803"/>
      <w:r w:rsidRPr="00AA18E2">
        <w:rPr>
          <w:rFonts w:ascii="Clash Display Medium" w:hAnsi="Clash Display Medium"/>
          <w:szCs w:val="24"/>
        </w:rPr>
        <w:t>Payment order cancellation</w:t>
      </w:r>
      <w:bookmarkEnd w:id="3"/>
    </w:p>
    <w:p w14:paraId="000000CD" w14:textId="71CBFCB2" w:rsidR="000909A6" w:rsidRPr="00AA18E2" w:rsidRDefault="00F13C98" w:rsidP="00AA18E2">
      <w:pPr>
        <w:pBdr>
          <w:top w:val="nil"/>
          <w:left w:val="nil"/>
          <w:bottom w:val="nil"/>
          <w:right w:val="nil"/>
          <w:between w:val="nil"/>
        </w:pBdr>
        <w:spacing w:before="120" w:after="120" w:line="276" w:lineRule="auto"/>
        <w:ind w:left="360"/>
        <w:jc w:val="both"/>
        <w:rPr>
          <w:rFonts w:ascii="Figtree" w:hAnsi="Figtree" w:cs="TTCommons-Regular"/>
          <w:color w:val="000000"/>
          <w:sz w:val="20"/>
          <w:szCs w:val="20"/>
        </w:rPr>
      </w:pPr>
      <w:r w:rsidRPr="00AA18E2">
        <w:rPr>
          <w:rFonts w:ascii="Figtree" w:hAnsi="Figtree" w:cs="TTCommons-Regular"/>
          <w:color w:val="000000"/>
          <w:sz w:val="20"/>
          <w:szCs w:val="20"/>
        </w:rPr>
        <w:t>To ensure the security of VIALET’s customers' funds and payment services, the Company shall:</w:t>
      </w:r>
    </w:p>
    <w:p w14:paraId="06A1FA65" w14:textId="77777777" w:rsidR="00F13C98" w:rsidRPr="00AA18E2" w:rsidRDefault="00F13C98" w:rsidP="00AA18E2">
      <w:pPr>
        <w:pStyle w:val="ListParagraph"/>
        <w:numPr>
          <w:ilvl w:val="0"/>
          <w:numId w:val="46"/>
        </w:numPr>
        <w:pBdr>
          <w:top w:val="nil"/>
          <w:left w:val="nil"/>
          <w:bottom w:val="nil"/>
          <w:right w:val="nil"/>
          <w:between w:val="nil"/>
        </w:pBdr>
        <w:spacing w:before="120" w:after="120" w:line="240" w:lineRule="auto"/>
        <w:ind w:left="714" w:hanging="357"/>
        <w:contextualSpacing w:val="0"/>
        <w:jc w:val="both"/>
        <w:rPr>
          <w:rFonts w:ascii="Figtree" w:hAnsi="Figtree" w:cs="TTCommons-Regular"/>
          <w:color w:val="000000"/>
          <w:sz w:val="20"/>
          <w:szCs w:val="20"/>
        </w:rPr>
      </w:pPr>
      <w:r w:rsidRPr="00AA18E2">
        <w:rPr>
          <w:rFonts w:ascii="Figtree" w:hAnsi="Figtree" w:cs="TTCommons-Regular"/>
          <w:color w:val="000000"/>
          <w:sz w:val="20"/>
          <w:szCs w:val="20"/>
        </w:rPr>
        <w:t>Contact customers who report fraud outside business hours by the next business day.</w:t>
      </w:r>
    </w:p>
    <w:p w14:paraId="000000CF" w14:textId="20520BF8" w:rsidR="000909A6" w:rsidRPr="00AA18E2" w:rsidRDefault="00000000" w:rsidP="00AA18E2">
      <w:pPr>
        <w:pStyle w:val="ListParagraph"/>
        <w:numPr>
          <w:ilvl w:val="0"/>
          <w:numId w:val="46"/>
        </w:numPr>
        <w:pBdr>
          <w:top w:val="nil"/>
          <w:left w:val="nil"/>
          <w:bottom w:val="nil"/>
          <w:right w:val="nil"/>
          <w:between w:val="nil"/>
        </w:pBdr>
        <w:spacing w:before="120" w:after="120" w:line="240" w:lineRule="auto"/>
        <w:ind w:left="714" w:hanging="357"/>
        <w:contextualSpacing w:val="0"/>
        <w:jc w:val="both"/>
        <w:rPr>
          <w:rFonts w:ascii="Figtree" w:hAnsi="Figtree" w:cs="TTCommons-Regular"/>
          <w:color w:val="000000"/>
          <w:sz w:val="20"/>
          <w:szCs w:val="20"/>
        </w:rPr>
      </w:pPr>
      <w:r w:rsidRPr="00AA18E2">
        <w:rPr>
          <w:rFonts w:ascii="Figtree" w:hAnsi="Figtree" w:cs="TTCommons-Regular"/>
          <w:color w:val="000000"/>
          <w:sz w:val="20"/>
          <w:szCs w:val="20"/>
        </w:rPr>
        <w:t xml:space="preserve">Ensure that reported fraud on payment cards and access to payment accounts is blocked within the same </w:t>
      </w:r>
      <w:r w:rsidR="007E0909" w:rsidRPr="00AA18E2">
        <w:rPr>
          <w:rFonts w:ascii="Figtree" w:hAnsi="Figtree" w:cs="TTCommons-Regular"/>
          <w:color w:val="000000"/>
          <w:sz w:val="20"/>
          <w:szCs w:val="20"/>
        </w:rPr>
        <w:t xml:space="preserve">business </w:t>
      </w:r>
      <w:r w:rsidRPr="00AA18E2">
        <w:rPr>
          <w:rFonts w:ascii="Figtree" w:hAnsi="Figtree" w:cs="TTCommons-Regular"/>
          <w:color w:val="000000"/>
          <w:sz w:val="20"/>
          <w:szCs w:val="20"/>
        </w:rPr>
        <w:t>day.</w:t>
      </w:r>
    </w:p>
    <w:p w14:paraId="000000D0" w14:textId="29C5AA5E" w:rsidR="000909A6" w:rsidRPr="00AA18E2" w:rsidRDefault="00000000" w:rsidP="00AA18E2">
      <w:pPr>
        <w:pStyle w:val="ListParagraph"/>
        <w:numPr>
          <w:ilvl w:val="0"/>
          <w:numId w:val="46"/>
        </w:numPr>
        <w:pBdr>
          <w:top w:val="nil"/>
          <w:left w:val="nil"/>
          <w:bottom w:val="nil"/>
          <w:right w:val="nil"/>
          <w:between w:val="nil"/>
        </w:pBdr>
        <w:spacing w:before="120" w:after="120" w:line="240" w:lineRule="auto"/>
        <w:ind w:left="714" w:hanging="357"/>
        <w:contextualSpacing w:val="0"/>
        <w:jc w:val="both"/>
        <w:rPr>
          <w:rFonts w:ascii="Figtree" w:hAnsi="Figtree" w:cs="TTCommons-Regular"/>
          <w:color w:val="000000"/>
          <w:sz w:val="20"/>
          <w:szCs w:val="20"/>
        </w:rPr>
      </w:pPr>
      <w:r w:rsidRPr="00AA18E2">
        <w:rPr>
          <w:rFonts w:ascii="Figtree" w:hAnsi="Figtree" w:cs="TTCommons-Regular"/>
          <w:color w:val="000000"/>
          <w:sz w:val="20"/>
          <w:szCs w:val="20"/>
        </w:rPr>
        <w:t xml:space="preserve">Initiate the procedure to revoke the payment order or consent to initiate or execute a payment transaction (where consent has been given to a payment initiation service provider or payee) and undertake similar actions upon receipt of notification on the same </w:t>
      </w:r>
      <w:r w:rsidR="003C0BFF" w:rsidRPr="00AA18E2">
        <w:rPr>
          <w:rFonts w:ascii="Figtree" w:hAnsi="Figtree" w:cs="TTCommons-Regular"/>
          <w:color w:val="000000"/>
          <w:sz w:val="20"/>
          <w:szCs w:val="20"/>
        </w:rPr>
        <w:t xml:space="preserve">business </w:t>
      </w:r>
      <w:r w:rsidRPr="00AA18E2">
        <w:rPr>
          <w:rFonts w:ascii="Figtree" w:hAnsi="Figtree" w:cs="TTCommons-Regular"/>
          <w:color w:val="000000"/>
          <w:sz w:val="20"/>
          <w:szCs w:val="20"/>
        </w:rPr>
        <w:t>day.</w:t>
      </w:r>
    </w:p>
    <w:p w14:paraId="000000D1" w14:textId="63360453" w:rsidR="000909A6" w:rsidRPr="00AA18E2" w:rsidRDefault="00F13C98" w:rsidP="00AA18E2">
      <w:pPr>
        <w:pStyle w:val="ListParagraph"/>
        <w:numPr>
          <w:ilvl w:val="0"/>
          <w:numId w:val="46"/>
        </w:numPr>
        <w:pBdr>
          <w:top w:val="nil"/>
          <w:left w:val="nil"/>
          <w:bottom w:val="nil"/>
          <w:right w:val="nil"/>
          <w:between w:val="nil"/>
        </w:pBdr>
        <w:spacing w:before="120" w:after="120" w:line="240" w:lineRule="auto"/>
        <w:ind w:left="714" w:hanging="357"/>
        <w:contextualSpacing w:val="0"/>
        <w:jc w:val="both"/>
        <w:rPr>
          <w:rFonts w:ascii="Figtree" w:hAnsi="Figtree" w:cs="TTCommons-Regular"/>
          <w:color w:val="000000"/>
          <w:sz w:val="20"/>
          <w:szCs w:val="20"/>
        </w:rPr>
      </w:pPr>
      <w:r w:rsidRPr="00AA18E2">
        <w:rPr>
          <w:rFonts w:ascii="Figtree" w:hAnsi="Figtree" w:cs="TTCommons-Regular"/>
          <w:color w:val="000000"/>
          <w:sz w:val="20"/>
          <w:szCs w:val="20"/>
        </w:rPr>
        <w:t>Provide information on fraud reporting and transaction dispute procedures on the Company’s website</w:t>
      </w:r>
      <w:r w:rsidRPr="00AA18E2">
        <w:rPr>
          <w:rFonts w:ascii="Figtree" w:hAnsi="Figtree" w:cs="TTCommons-Regular"/>
          <w:color w:val="000000"/>
          <w:sz w:val="20"/>
          <w:szCs w:val="20"/>
        </w:rPr>
        <w:t xml:space="preserve"> </w:t>
      </w:r>
      <w:hyperlink r:id="rId11" w:history="1">
        <w:r w:rsidRPr="00AA18E2">
          <w:rPr>
            <w:rStyle w:val="Hyperlink"/>
            <w:rFonts w:ascii="Figtree" w:hAnsi="Figtree" w:cs="TTCommons-Regular"/>
            <w:sz w:val="20"/>
            <w:szCs w:val="20"/>
          </w:rPr>
          <w:t>www.vialet.eu</w:t>
        </w:r>
      </w:hyperlink>
      <w:r w:rsidRPr="00AA18E2">
        <w:rPr>
          <w:rStyle w:val="Hyperlink"/>
          <w:rFonts w:ascii="Figtree" w:hAnsi="Figtree" w:cs="TTCommons-Regular"/>
          <w:sz w:val="20"/>
          <w:szCs w:val="20"/>
        </w:rPr>
        <w:t>;</w:t>
      </w:r>
    </w:p>
    <w:p w14:paraId="0FAE801D" w14:textId="2A50CD0E" w:rsidR="00F13C98" w:rsidRPr="00AA18E2" w:rsidRDefault="00F13C98" w:rsidP="00AA18E2">
      <w:pPr>
        <w:pStyle w:val="ListParagraph"/>
        <w:numPr>
          <w:ilvl w:val="0"/>
          <w:numId w:val="49"/>
        </w:numPr>
        <w:pBdr>
          <w:top w:val="nil"/>
          <w:left w:val="nil"/>
          <w:bottom w:val="nil"/>
          <w:right w:val="nil"/>
          <w:between w:val="nil"/>
        </w:pBdr>
        <w:spacing w:before="120" w:after="120" w:line="240" w:lineRule="auto"/>
        <w:ind w:left="714" w:hanging="357"/>
        <w:contextualSpacing w:val="0"/>
        <w:jc w:val="both"/>
        <w:rPr>
          <w:rFonts w:ascii="Figtree" w:hAnsi="Figtree" w:cs="TTCommons-Regular"/>
          <w:color w:val="000000"/>
          <w:sz w:val="20"/>
          <w:szCs w:val="20"/>
        </w:rPr>
      </w:pPr>
      <w:r w:rsidRPr="00AA18E2">
        <w:rPr>
          <w:rFonts w:ascii="Figtree" w:hAnsi="Figtree" w:cs="TTCommons-Regular"/>
          <w:color w:val="000000"/>
          <w:sz w:val="20"/>
          <w:szCs w:val="20"/>
        </w:rPr>
        <w:t xml:space="preserve">Maintain timely access to Customer Service through </w:t>
      </w:r>
      <w:hyperlink r:id="rId12" w:history="1">
        <w:r w:rsidRPr="00AA18E2">
          <w:rPr>
            <w:rStyle w:val="Hyperlink"/>
            <w:rFonts w:ascii="Figtree" w:hAnsi="Figtree" w:cs="TTCommons-Regular"/>
            <w:sz w:val="20"/>
            <w:szCs w:val="20"/>
          </w:rPr>
          <w:t>support@vialet.eu</w:t>
        </w:r>
      </w:hyperlink>
      <w:r w:rsidRPr="00AA18E2">
        <w:rPr>
          <w:rFonts w:ascii="Figtree" w:hAnsi="Figtree" w:cs="TTCommons-Regular"/>
          <w:color w:val="000000"/>
          <w:sz w:val="20"/>
          <w:szCs w:val="20"/>
        </w:rPr>
        <w:t>;</w:t>
      </w:r>
    </w:p>
    <w:p w14:paraId="0AD0B096" w14:textId="77496353" w:rsidR="00F13C98" w:rsidRPr="00AA18E2" w:rsidRDefault="00F13C98" w:rsidP="00AA18E2">
      <w:pPr>
        <w:pStyle w:val="ListParagraph"/>
        <w:numPr>
          <w:ilvl w:val="0"/>
          <w:numId w:val="49"/>
        </w:numPr>
        <w:pBdr>
          <w:top w:val="nil"/>
          <w:left w:val="nil"/>
          <w:bottom w:val="nil"/>
          <w:right w:val="nil"/>
          <w:between w:val="nil"/>
        </w:pBdr>
        <w:spacing w:before="120" w:after="120" w:line="240" w:lineRule="auto"/>
        <w:ind w:left="714" w:hanging="357"/>
        <w:contextualSpacing w:val="0"/>
        <w:jc w:val="both"/>
        <w:rPr>
          <w:rFonts w:ascii="Figtree" w:hAnsi="Figtree" w:cs="TTCommons-Regular"/>
          <w:color w:val="000000"/>
          <w:sz w:val="20"/>
          <w:szCs w:val="20"/>
        </w:rPr>
      </w:pPr>
      <w:r w:rsidRPr="00AA18E2">
        <w:rPr>
          <w:rFonts w:ascii="Figtree" w:hAnsi="Figtree" w:cs="TTCommons-Regular"/>
          <w:color w:val="000000"/>
          <w:sz w:val="20"/>
          <w:szCs w:val="20"/>
        </w:rPr>
        <w:t>Promptly notify the payee's PSP and relevant financial institutions within one business day of receiving a customer's request</w:t>
      </w:r>
      <w:r w:rsidRPr="00AA18E2">
        <w:rPr>
          <w:rFonts w:ascii="Figtree" w:hAnsi="Figtree" w:cs="TTCommons-Regular"/>
          <w:color w:val="000000"/>
          <w:sz w:val="20"/>
          <w:szCs w:val="20"/>
        </w:rPr>
        <w:t>;</w:t>
      </w:r>
    </w:p>
    <w:p w14:paraId="5A099656" w14:textId="3D1286F8" w:rsidR="00F13C98" w:rsidRPr="00AA18E2" w:rsidRDefault="00F13C98" w:rsidP="00AA18E2">
      <w:pPr>
        <w:pStyle w:val="ListParagraph"/>
        <w:numPr>
          <w:ilvl w:val="0"/>
          <w:numId w:val="49"/>
        </w:numPr>
        <w:pBdr>
          <w:top w:val="nil"/>
          <w:left w:val="nil"/>
          <w:bottom w:val="nil"/>
          <w:right w:val="nil"/>
          <w:between w:val="nil"/>
        </w:pBdr>
        <w:spacing w:before="120" w:after="120" w:line="240" w:lineRule="auto"/>
        <w:ind w:left="714" w:hanging="357"/>
        <w:contextualSpacing w:val="0"/>
        <w:jc w:val="both"/>
        <w:rPr>
          <w:rFonts w:ascii="Figtree" w:hAnsi="Figtree" w:cs="TTCommons-Regular"/>
          <w:color w:val="000000"/>
          <w:sz w:val="20"/>
          <w:szCs w:val="20"/>
        </w:rPr>
      </w:pPr>
      <w:r w:rsidRPr="00AA18E2">
        <w:rPr>
          <w:rFonts w:ascii="Figtree" w:hAnsi="Figtree" w:cs="TTCommons-Regular"/>
          <w:color w:val="000000"/>
          <w:sz w:val="20"/>
          <w:szCs w:val="20"/>
        </w:rPr>
        <w:t>Cooperate with other financial institutions to stop or cancel transactions and make reasonable efforts to recover funds.</w:t>
      </w:r>
    </w:p>
    <w:p w14:paraId="000000DA" w14:textId="77777777" w:rsidR="000909A6" w:rsidRPr="00AA18E2" w:rsidRDefault="00000000" w:rsidP="00AA18E2">
      <w:pPr>
        <w:pBdr>
          <w:top w:val="nil"/>
          <w:left w:val="nil"/>
          <w:bottom w:val="nil"/>
          <w:right w:val="nil"/>
          <w:between w:val="nil"/>
        </w:pBdr>
        <w:spacing w:before="120" w:after="120" w:line="276" w:lineRule="auto"/>
        <w:ind w:firstLine="360"/>
        <w:jc w:val="both"/>
        <w:rPr>
          <w:rFonts w:ascii="Figtree" w:hAnsi="Figtree" w:cs="TTCommons-Regular"/>
          <w:color w:val="000000"/>
          <w:sz w:val="20"/>
          <w:szCs w:val="20"/>
        </w:rPr>
      </w:pPr>
      <w:r w:rsidRPr="00AA18E2">
        <w:rPr>
          <w:rFonts w:ascii="Figtree" w:hAnsi="Figtree" w:cs="TTCommons-Regular"/>
          <w:color w:val="000000"/>
          <w:sz w:val="20"/>
          <w:szCs w:val="20"/>
        </w:rPr>
        <w:t xml:space="preserve">Company should respond promptly to customer enquiries and requests: </w:t>
      </w:r>
    </w:p>
    <w:p w14:paraId="7EEF6CBD" w14:textId="601EF615" w:rsidR="00F13C98" w:rsidRPr="00AA18E2" w:rsidRDefault="00CF1AE7" w:rsidP="00AA18E2">
      <w:pPr>
        <w:pStyle w:val="ListParagraph"/>
        <w:numPr>
          <w:ilvl w:val="0"/>
          <w:numId w:val="45"/>
        </w:numPr>
        <w:pBdr>
          <w:top w:val="nil"/>
          <w:left w:val="nil"/>
          <w:bottom w:val="nil"/>
          <w:right w:val="nil"/>
          <w:between w:val="nil"/>
        </w:pBdr>
        <w:spacing w:before="120" w:after="120" w:line="240" w:lineRule="auto"/>
        <w:ind w:left="714" w:hanging="357"/>
        <w:contextualSpacing w:val="0"/>
        <w:jc w:val="both"/>
        <w:rPr>
          <w:rFonts w:ascii="Figtree" w:hAnsi="Figtree" w:cs="TTCommons-Regular"/>
          <w:color w:val="000000"/>
          <w:sz w:val="20"/>
          <w:szCs w:val="20"/>
        </w:rPr>
      </w:pPr>
      <w:r w:rsidRPr="00AA18E2">
        <w:rPr>
          <w:rFonts w:ascii="Figtree" w:hAnsi="Figtree" w:cs="TTCommons-Regular"/>
          <w:color w:val="000000"/>
          <w:sz w:val="20"/>
          <w:szCs w:val="20"/>
        </w:rPr>
        <w:t>Regarding a</w:t>
      </w:r>
      <w:r w:rsidR="00F13C98" w:rsidRPr="00AA18E2">
        <w:rPr>
          <w:rFonts w:ascii="Figtree" w:hAnsi="Figtree" w:cs="TTCommons-Regular"/>
          <w:color w:val="000000"/>
          <w:sz w:val="20"/>
          <w:szCs w:val="20"/>
        </w:rPr>
        <w:t>ny inconsistencies between the payee’s details in the payment order and the information the Company has on the payee</w:t>
      </w:r>
      <w:r w:rsidRPr="00AA18E2">
        <w:rPr>
          <w:rFonts w:ascii="Figtree" w:hAnsi="Figtree" w:cs="TTCommons-Regular"/>
          <w:color w:val="000000"/>
          <w:sz w:val="20"/>
          <w:szCs w:val="20"/>
        </w:rPr>
        <w:t>;</w:t>
      </w:r>
    </w:p>
    <w:p w14:paraId="35858F05" w14:textId="07C1C529" w:rsidR="00CF1AE7" w:rsidRPr="00AA18E2" w:rsidRDefault="00000000" w:rsidP="00AA18E2">
      <w:pPr>
        <w:pStyle w:val="ListParagraph"/>
        <w:numPr>
          <w:ilvl w:val="0"/>
          <w:numId w:val="45"/>
        </w:numPr>
        <w:pBdr>
          <w:top w:val="nil"/>
          <w:left w:val="nil"/>
          <w:bottom w:val="nil"/>
          <w:right w:val="nil"/>
          <w:between w:val="nil"/>
        </w:pBdr>
        <w:spacing w:before="120" w:after="120" w:line="240" w:lineRule="auto"/>
        <w:ind w:left="714" w:hanging="357"/>
        <w:contextualSpacing w:val="0"/>
        <w:jc w:val="both"/>
        <w:rPr>
          <w:rFonts w:ascii="Figtree" w:hAnsi="Figtree" w:cs="TTCommons-Regular"/>
          <w:color w:val="000000"/>
          <w:sz w:val="20"/>
          <w:szCs w:val="20"/>
        </w:rPr>
      </w:pPr>
      <w:r w:rsidRPr="00AA18E2">
        <w:rPr>
          <w:rFonts w:ascii="Figtree" w:hAnsi="Figtree" w:cs="TTCommons-Regular"/>
          <w:color w:val="000000"/>
          <w:sz w:val="20"/>
          <w:szCs w:val="20"/>
        </w:rPr>
        <w:t xml:space="preserve">Regarding </w:t>
      </w:r>
      <w:r w:rsidR="00CF1AE7" w:rsidRPr="00AA18E2">
        <w:rPr>
          <w:rFonts w:ascii="Figtree" w:hAnsi="Figtree" w:cs="TTCommons-Regular"/>
          <w:color w:val="000000"/>
          <w:sz w:val="20"/>
          <w:szCs w:val="20"/>
        </w:rPr>
        <w:t>revocation of a payment order or consent, prioritizing such requests without additional time limits</w:t>
      </w:r>
      <w:r w:rsidR="00CF1AE7" w:rsidRPr="00AA18E2">
        <w:rPr>
          <w:rFonts w:ascii="Figtree" w:hAnsi="Figtree" w:cs="TTCommons-Regular"/>
          <w:color w:val="000000"/>
          <w:sz w:val="20"/>
          <w:szCs w:val="20"/>
        </w:rPr>
        <w:t>;</w:t>
      </w:r>
    </w:p>
    <w:p w14:paraId="000000DD" w14:textId="2C17F58A" w:rsidR="000909A6" w:rsidRPr="00AA18E2" w:rsidRDefault="00CF1AE7" w:rsidP="00AA18E2">
      <w:pPr>
        <w:pStyle w:val="ListParagraph"/>
        <w:numPr>
          <w:ilvl w:val="0"/>
          <w:numId w:val="45"/>
        </w:numPr>
        <w:pBdr>
          <w:top w:val="nil"/>
          <w:left w:val="nil"/>
          <w:bottom w:val="nil"/>
          <w:right w:val="nil"/>
          <w:between w:val="nil"/>
        </w:pBdr>
        <w:spacing w:before="120" w:after="120" w:line="240" w:lineRule="auto"/>
        <w:ind w:left="714" w:hanging="357"/>
        <w:contextualSpacing w:val="0"/>
        <w:jc w:val="both"/>
        <w:rPr>
          <w:rFonts w:ascii="Figtree" w:hAnsi="Figtree" w:cs="TTCommons-Regular"/>
          <w:color w:val="000000"/>
          <w:sz w:val="20"/>
          <w:szCs w:val="20"/>
        </w:rPr>
      </w:pPr>
      <w:r w:rsidRPr="00AA18E2">
        <w:rPr>
          <w:rFonts w:ascii="Figtree" w:hAnsi="Figtree" w:cs="TTCommons-Regular"/>
          <w:color w:val="000000"/>
          <w:sz w:val="20"/>
          <w:szCs w:val="20"/>
        </w:rPr>
        <w:t>Clarifying the purpose of the customer’s request to cancel a payment transaction and providing necessary information to assist the customer in deciding on further action.</w:t>
      </w:r>
    </w:p>
    <w:p w14:paraId="000000DE" w14:textId="77777777" w:rsidR="000909A6" w:rsidRPr="00AA18E2" w:rsidRDefault="00000000" w:rsidP="00AA18E2">
      <w:pPr>
        <w:pStyle w:val="Heading1"/>
        <w:spacing w:before="240" w:after="240" w:line="276" w:lineRule="auto"/>
        <w:ind w:left="357"/>
        <w:jc w:val="both"/>
        <w:rPr>
          <w:rFonts w:ascii="Clash Display Medium" w:hAnsi="Clash Display Medium"/>
          <w:szCs w:val="24"/>
        </w:rPr>
      </w:pPr>
      <w:bookmarkStart w:id="4" w:name="_Toc173336804"/>
      <w:r w:rsidRPr="00AA18E2">
        <w:rPr>
          <w:rFonts w:ascii="Clash Display Medium" w:hAnsi="Clash Display Medium"/>
          <w:szCs w:val="24"/>
        </w:rPr>
        <w:t>Customer awareness</w:t>
      </w:r>
      <w:bookmarkEnd w:id="4"/>
      <w:r w:rsidRPr="00AA18E2">
        <w:rPr>
          <w:rFonts w:ascii="Clash Display Medium" w:hAnsi="Clash Display Medium"/>
          <w:szCs w:val="24"/>
        </w:rPr>
        <w:t xml:space="preserve"> </w:t>
      </w:r>
    </w:p>
    <w:p w14:paraId="000000DF" w14:textId="6A033DD9" w:rsidR="000909A6" w:rsidRPr="00AA18E2" w:rsidRDefault="00FA11E6" w:rsidP="00AA18E2">
      <w:pPr>
        <w:pBdr>
          <w:top w:val="nil"/>
          <w:left w:val="nil"/>
          <w:bottom w:val="nil"/>
          <w:right w:val="nil"/>
          <w:between w:val="nil"/>
        </w:pBdr>
        <w:spacing w:before="120" w:after="120" w:line="276" w:lineRule="auto"/>
        <w:ind w:left="360"/>
        <w:jc w:val="both"/>
        <w:rPr>
          <w:rFonts w:ascii="Figtree" w:hAnsi="Figtree" w:cs="TTCommons-Regular"/>
          <w:color w:val="000000"/>
          <w:sz w:val="20"/>
          <w:szCs w:val="20"/>
        </w:rPr>
      </w:pPr>
      <w:r w:rsidRPr="00AA18E2">
        <w:rPr>
          <w:rFonts w:ascii="Figtree" w:hAnsi="Figtree" w:cs="TTCommons-Regular"/>
          <w:color w:val="000000"/>
          <w:sz w:val="20"/>
          <w:szCs w:val="20"/>
        </w:rPr>
        <w:t>To educate customers about fraud and how to protect themselves, the Company takes a proactive approach by:</w:t>
      </w:r>
    </w:p>
    <w:p w14:paraId="318349BF" w14:textId="0CCAAAB6" w:rsidR="00FA11E6" w:rsidRPr="00AA18E2" w:rsidRDefault="00FA11E6" w:rsidP="00AA18E2">
      <w:pPr>
        <w:pStyle w:val="ListParagraph"/>
        <w:numPr>
          <w:ilvl w:val="0"/>
          <w:numId w:val="51"/>
        </w:numPr>
        <w:pBdr>
          <w:top w:val="nil"/>
          <w:left w:val="nil"/>
          <w:bottom w:val="nil"/>
          <w:right w:val="nil"/>
          <w:between w:val="nil"/>
        </w:pBdr>
        <w:spacing w:before="120" w:after="120" w:line="276" w:lineRule="auto"/>
        <w:contextualSpacing w:val="0"/>
        <w:jc w:val="both"/>
        <w:rPr>
          <w:rFonts w:ascii="Figtree" w:hAnsi="Figtree" w:cs="TTCommons-Regular"/>
          <w:color w:val="000000"/>
          <w:sz w:val="20"/>
          <w:szCs w:val="20"/>
        </w:rPr>
      </w:pPr>
      <w:r w:rsidRPr="00AA18E2">
        <w:rPr>
          <w:rFonts w:ascii="Figtree" w:hAnsi="Figtree" w:cs="TTCommons-Regular"/>
          <w:color w:val="000000"/>
          <w:sz w:val="20"/>
          <w:szCs w:val="20"/>
        </w:rPr>
        <w:t xml:space="preserve">Keeping a fraud prevention page on the website </w:t>
      </w:r>
      <w:hyperlink r:id="rId13" w:tgtFrame="_new" w:history="1">
        <w:r w:rsidRPr="00AA18E2">
          <w:rPr>
            <w:rStyle w:val="Hyperlink"/>
            <w:rFonts w:ascii="Figtree" w:hAnsi="Figtree" w:cs="TTCommons-Regular"/>
            <w:sz w:val="20"/>
            <w:szCs w:val="20"/>
          </w:rPr>
          <w:t>www.vialet.eu</w:t>
        </w:r>
      </w:hyperlink>
      <w:r w:rsidRPr="00AA18E2">
        <w:rPr>
          <w:rFonts w:ascii="Figtree" w:hAnsi="Figtree" w:cs="TTCommons-Regular"/>
          <w:color w:val="000000"/>
          <w:sz w:val="20"/>
          <w:szCs w:val="20"/>
        </w:rPr>
        <w:t xml:space="preserve"> that highlights the importance of fraud prevention.</w:t>
      </w:r>
    </w:p>
    <w:p w14:paraId="000000E1" w14:textId="5FDF1C7C" w:rsidR="000909A6" w:rsidRPr="00AA18E2" w:rsidRDefault="00FA11E6" w:rsidP="00AA18E2">
      <w:pPr>
        <w:pStyle w:val="ListParagraph"/>
        <w:numPr>
          <w:ilvl w:val="0"/>
          <w:numId w:val="51"/>
        </w:numPr>
        <w:pBdr>
          <w:top w:val="nil"/>
          <w:left w:val="nil"/>
          <w:bottom w:val="nil"/>
          <w:right w:val="nil"/>
          <w:between w:val="nil"/>
        </w:pBdr>
        <w:spacing w:before="120" w:after="120" w:line="276" w:lineRule="auto"/>
        <w:contextualSpacing w:val="0"/>
        <w:jc w:val="both"/>
        <w:rPr>
          <w:rFonts w:ascii="Figtree" w:hAnsi="Figtree" w:cs="TTCommons-Regular"/>
          <w:color w:val="000000"/>
          <w:sz w:val="20"/>
          <w:szCs w:val="20"/>
        </w:rPr>
      </w:pPr>
      <w:r w:rsidRPr="00AA18E2">
        <w:rPr>
          <w:rFonts w:ascii="Figtree" w:hAnsi="Figtree" w:cs="TTCommons-Regular"/>
          <w:color w:val="000000"/>
          <w:sz w:val="20"/>
          <w:szCs w:val="20"/>
        </w:rPr>
        <w:t>Publishing articles with statistics and updates on effective fraud prevention practices and fraud types.</w:t>
      </w:r>
    </w:p>
    <w:p w14:paraId="49E706BF" w14:textId="6C13182F" w:rsidR="00FA11E6" w:rsidRPr="00AA18E2" w:rsidRDefault="00000000" w:rsidP="00AA18E2">
      <w:pPr>
        <w:pStyle w:val="ListParagraph"/>
        <w:numPr>
          <w:ilvl w:val="0"/>
          <w:numId w:val="51"/>
        </w:numPr>
        <w:pBdr>
          <w:top w:val="nil"/>
          <w:left w:val="nil"/>
          <w:bottom w:val="nil"/>
          <w:right w:val="nil"/>
          <w:between w:val="nil"/>
        </w:pBdr>
        <w:spacing w:before="120" w:after="120" w:line="276" w:lineRule="auto"/>
        <w:contextualSpacing w:val="0"/>
        <w:jc w:val="both"/>
        <w:rPr>
          <w:rFonts w:ascii="Figtree" w:hAnsi="Figtree" w:cs="TTCommons-Regular"/>
          <w:color w:val="FF0000"/>
          <w:sz w:val="20"/>
          <w:szCs w:val="20"/>
        </w:rPr>
      </w:pPr>
      <w:r w:rsidRPr="00AA18E2">
        <w:rPr>
          <w:rFonts w:ascii="Figtree" w:hAnsi="Figtree" w:cs="TTCommons-Regular"/>
          <w:color w:val="000000"/>
          <w:sz w:val="20"/>
          <w:szCs w:val="20"/>
        </w:rPr>
        <w:lastRenderedPageBreak/>
        <w:t xml:space="preserve">Sharing </w:t>
      </w:r>
      <w:r w:rsidR="00FA11E6" w:rsidRPr="00AA18E2">
        <w:rPr>
          <w:rFonts w:ascii="Figtree" w:hAnsi="Figtree" w:cs="TTCommons-Regular"/>
          <w:color w:val="000000"/>
          <w:sz w:val="20"/>
          <w:szCs w:val="20"/>
        </w:rPr>
        <w:t>Periodically sharing information about phishing, vishing, and other fraud types via email, private messages, or during live consultations.</w:t>
      </w:r>
    </w:p>
    <w:p w14:paraId="5D4457A2" w14:textId="77777777" w:rsidR="00FA11E6" w:rsidRPr="00AA18E2" w:rsidRDefault="00FA11E6" w:rsidP="00AA18E2">
      <w:pPr>
        <w:pBdr>
          <w:top w:val="nil"/>
          <w:left w:val="nil"/>
          <w:bottom w:val="nil"/>
          <w:right w:val="nil"/>
          <w:between w:val="nil"/>
        </w:pBdr>
        <w:spacing w:before="120" w:after="120" w:line="276" w:lineRule="auto"/>
        <w:ind w:left="360"/>
        <w:jc w:val="both"/>
        <w:rPr>
          <w:rFonts w:ascii="Figtree" w:hAnsi="Figtree" w:cs="TTCommons-Regular"/>
          <w:color w:val="000000"/>
          <w:sz w:val="20"/>
          <w:szCs w:val="20"/>
        </w:rPr>
      </w:pPr>
      <w:r w:rsidRPr="00AA18E2">
        <w:rPr>
          <w:rFonts w:ascii="Figtree" w:hAnsi="Figtree" w:cs="TTCommons-Regular"/>
          <w:color w:val="000000"/>
          <w:sz w:val="20"/>
          <w:szCs w:val="20"/>
        </w:rPr>
        <w:t xml:space="preserve">Customer Service shall inform customers about changes in payment services through electronic means without including direct links to the customer’s internet banking platform to ensure security. </w:t>
      </w:r>
    </w:p>
    <w:p w14:paraId="1F33F9CF" w14:textId="4CF80352" w:rsidR="00FA11E6" w:rsidRPr="00AA18E2" w:rsidRDefault="00FA11E6" w:rsidP="00AA18E2">
      <w:pPr>
        <w:pBdr>
          <w:top w:val="nil"/>
          <w:left w:val="nil"/>
          <w:bottom w:val="nil"/>
          <w:right w:val="nil"/>
          <w:between w:val="nil"/>
        </w:pBdr>
        <w:spacing w:before="120" w:after="120" w:line="276" w:lineRule="auto"/>
        <w:ind w:left="360"/>
        <w:jc w:val="both"/>
        <w:rPr>
          <w:rFonts w:ascii="Figtree" w:hAnsi="Figtree" w:cs="TTCommons-Regular"/>
          <w:color w:val="000000"/>
          <w:sz w:val="20"/>
          <w:szCs w:val="20"/>
        </w:rPr>
      </w:pPr>
      <w:r w:rsidRPr="00AA18E2">
        <w:rPr>
          <w:rFonts w:ascii="Figtree" w:hAnsi="Figtree" w:cs="TTCommons-Regular"/>
          <w:color w:val="000000"/>
          <w:sz w:val="20"/>
          <w:szCs w:val="20"/>
        </w:rPr>
        <w:t xml:space="preserve">VIALET ensures that customers are clearly informed about when they might be asked to provide specific confidential personal information, such as their personal identification number or ID number, but not their personalized security features for payment </w:t>
      </w:r>
      <w:r w:rsidRPr="00AA18E2">
        <w:rPr>
          <w:rFonts w:ascii="Figtree" w:hAnsi="Figtree" w:cs="TTCommons-Regular"/>
          <w:color w:val="000000"/>
          <w:sz w:val="20"/>
          <w:szCs w:val="20"/>
        </w:rPr>
        <w:t>devices</w:t>
      </w:r>
      <w:r w:rsidRPr="00AA18E2">
        <w:rPr>
          <w:rFonts w:ascii="Figtree" w:hAnsi="Figtree" w:cs="TTCommons-Regular"/>
          <w:color w:val="000000"/>
          <w:sz w:val="20"/>
          <w:szCs w:val="20"/>
        </w:rPr>
        <w:t>. For example, if a customer wants to increase transaction limits via e-banking, VIALET may contact the customer to request confidential information to verify the authenticity of the request.</w:t>
      </w:r>
    </w:p>
    <w:p w14:paraId="28E5C0D4" w14:textId="5DE14579" w:rsidR="00F231B8" w:rsidRPr="00AA18E2" w:rsidRDefault="00F231B8" w:rsidP="00AA18E2">
      <w:pPr>
        <w:pBdr>
          <w:top w:val="nil"/>
          <w:left w:val="nil"/>
          <w:bottom w:val="nil"/>
          <w:right w:val="nil"/>
          <w:between w:val="nil"/>
        </w:pBdr>
        <w:spacing w:before="120" w:after="120" w:line="276" w:lineRule="auto"/>
        <w:ind w:left="360"/>
        <w:jc w:val="both"/>
        <w:rPr>
          <w:rFonts w:ascii="Figtree" w:hAnsi="Figtree" w:cs="TTCommons-Regular"/>
          <w:color w:val="000000"/>
          <w:sz w:val="20"/>
          <w:szCs w:val="20"/>
        </w:rPr>
      </w:pPr>
      <w:r w:rsidRPr="00AA18E2">
        <w:rPr>
          <w:rFonts w:ascii="Figtree" w:hAnsi="Figtree" w:cs="TTCommons-Regular"/>
          <w:color w:val="000000"/>
          <w:sz w:val="20"/>
          <w:szCs w:val="20"/>
        </w:rPr>
        <w:t>Customer Service shall assist customers with all matters and respond promptly to requests for help and notifications, especially in unusual or security-related issues with payment services. If a customer becomes a victim of fraud, Customer Service must proactively reach out and offer guidance on the next steps. Assistance and advice provided will be updated to address new threats and vulnerabilities.</w:t>
      </w:r>
      <w:bookmarkStart w:id="5" w:name="_Toc173336805"/>
    </w:p>
    <w:p w14:paraId="2BF0F775" w14:textId="2E3BB2BB" w:rsidR="00F231B8" w:rsidRPr="00AA18E2" w:rsidRDefault="00F231B8" w:rsidP="00AA18E2">
      <w:pPr>
        <w:spacing w:before="120" w:after="120" w:line="276" w:lineRule="auto"/>
        <w:ind w:left="360"/>
        <w:jc w:val="both"/>
        <w:rPr>
          <w:rFonts w:ascii="Figtree" w:hAnsi="Figtree"/>
          <w:b/>
          <w:sz w:val="20"/>
          <w:szCs w:val="20"/>
        </w:rPr>
      </w:pPr>
      <w:r w:rsidRPr="00AA18E2">
        <w:rPr>
          <w:rFonts w:ascii="Figtree" w:hAnsi="Figtree"/>
          <w:sz w:val="20"/>
          <w:szCs w:val="20"/>
        </w:rPr>
        <w:t xml:space="preserve">Customers can report fraud by emailing support@vialet.eu or complaints@vialet.eu. To maintain proactive measures and ensure the integrity of the financial market, the Company will also </w:t>
      </w:r>
      <w:r w:rsidRPr="00AA18E2">
        <w:rPr>
          <w:rFonts w:ascii="Figtree" w:hAnsi="Figtree"/>
          <w:sz w:val="20"/>
          <w:szCs w:val="20"/>
        </w:rPr>
        <w:t>review</w:t>
      </w:r>
      <w:r w:rsidRPr="00AA18E2">
        <w:rPr>
          <w:rFonts w:ascii="Figtree" w:hAnsi="Figtree"/>
          <w:sz w:val="20"/>
          <w:szCs w:val="20"/>
        </w:rPr>
        <w:t xml:space="preserve"> fraud reports from any relevant party through various communication channels, including live consultations, messages, and publications.</w:t>
      </w:r>
    </w:p>
    <w:p w14:paraId="000000EE" w14:textId="6FB649A5" w:rsidR="000909A6" w:rsidRPr="009672B0" w:rsidRDefault="00000000" w:rsidP="009672B0">
      <w:pPr>
        <w:pStyle w:val="Heading1"/>
        <w:spacing w:before="240" w:after="240" w:line="240" w:lineRule="auto"/>
        <w:ind w:left="357"/>
        <w:jc w:val="both"/>
        <w:rPr>
          <w:rFonts w:ascii="Clash Display Medium" w:hAnsi="Clash Display Medium"/>
          <w:szCs w:val="24"/>
        </w:rPr>
      </w:pPr>
      <w:r w:rsidRPr="009672B0">
        <w:rPr>
          <w:rFonts w:ascii="Clash Display Medium" w:hAnsi="Clash Display Medium"/>
          <w:szCs w:val="24"/>
        </w:rPr>
        <w:t>Fraud types</w:t>
      </w:r>
      <w:r w:rsidR="005F5160" w:rsidRPr="009672B0">
        <w:rPr>
          <w:rFonts w:ascii="Clash Display Medium" w:hAnsi="Clash Display Medium"/>
          <w:szCs w:val="24"/>
        </w:rPr>
        <w:t xml:space="preserve"> </w:t>
      </w:r>
      <w:bookmarkEnd w:id="5"/>
      <w:r w:rsidR="00F231B8" w:rsidRPr="009672B0">
        <w:rPr>
          <w:rFonts w:ascii="Clash Display Medium" w:hAnsi="Clash Display Medium"/>
          <w:szCs w:val="24"/>
        </w:rPr>
        <w:t>and their red flags</w:t>
      </w:r>
    </w:p>
    <w:p w14:paraId="296E648A" w14:textId="1C23A07B" w:rsidR="00F231B8" w:rsidRPr="009672B0" w:rsidRDefault="00F231B8" w:rsidP="00F231B8">
      <w:pPr>
        <w:ind w:left="360"/>
        <w:jc w:val="both"/>
        <w:rPr>
          <w:rFonts w:ascii="Figtree" w:hAnsi="Figtree"/>
          <w:sz w:val="20"/>
          <w:szCs w:val="20"/>
        </w:rPr>
      </w:pPr>
      <w:r w:rsidRPr="009672B0">
        <w:rPr>
          <w:rFonts w:ascii="Figtree" w:hAnsi="Figtree"/>
          <w:sz w:val="20"/>
          <w:szCs w:val="20"/>
        </w:rPr>
        <w:t>F</w:t>
      </w:r>
      <w:r w:rsidRPr="009672B0">
        <w:rPr>
          <w:rFonts w:ascii="Figtree" w:hAnsi="Figtree"/>
          <w:sz w:val="20"/>
          <w:szCs w:val="20"/>
        </w:rPr>
        <w:t>raud involves deceptive activities carried out by individuals or entities outside the Company. This includes schemes like phishing scams, identity theft, unauthorized access attempts, and more. Effectively understanding and addressing these risks is crucial for maintaining the integrity of operations and protecting customers' assets.</w:t>
      </w:r>
    </w:p>
    <w:p w14:paraId="1EA4A1D4" w14:textId="77777777" w:rsidR="00F231B8" w:rsidRPr="009672B0" w:rsidRDefault="00000000" w:rsidP="00F231B8">
      <w:pPr>
        <w:ind w:left="360"/>
        <w:jc w:val="both"/>
        <w:rPr>
          <w:rFonts w:ascii="Clash Display Light" w:hAnsi="Clash Display Light"/>
          <w:i/>
        </w:rPr>
      </w:pPr>
      <w:r w:rsidRPr="009672B0">
        <w:rPr>
          <w:rFonts w:ascii="Clash Display Light" w:hAnsi="Clash Display Light"/>
          <w:b/>
          <w:bCs/>
          <w:iCs/>
        </w:rPr>
        <w:t>Phishing and Vhishing</w:t>
      </w:r>
    </w:p>
    <w:p w14:paraId="0000010D" w14:textId="18EF01C4" w:rsidR="000909A6" w:rsidRPr="009672B0" w:rsidRDefault="00091A40" w:rsidP="00F231B8">
      <w:pPr>
        <w:ind w:left="360"/>
        <w:jc w:val="both"/>
        <w:rPr>
          <w:rFonts w:ascii="Figtree" w:hAnsi="Figtree"/>
          <w:i/>
          <w:sz w:val="20"/>
          <w:szCs w:val="20"/>
        </w:rPr>
      </w:pPr>
      <w:r w:rsidRPr="009672B0">
        <w:rPr>
          <w:rFonts w:ascii="Figtree" w:hAnsi="Figtree"/>
          <w:sz w:val="20"/>
          <w:szCs w:val="20"/>
        </w:rPr>
        <w:t>Phishing is a social engineering technique used online to deceive individuals into revealing sensitive information like usernames, passwords, bank account numbers, and payment card details by pretending to be a trustworthy source. Vishing is a similar type of fraud but occurs over the phone, where scammers use calls to extract personal data.</w:t>
      </w:r>
    </w:p>
    <w:tbl>
      <w:tblPr>
        <w:tblStyle w:val="ListTable2"/>
        <w:tblW w:w="8647" w:type="dxa"/>
        <w:tblInd w:w="284" w:type="dxa"/>
        <w:tblLayout w:type="fixed"/>
        <w:tblLook w:val="0400" w:firstRow="0" w:lastRow="0" w:firstColumn="0" w:lastColumn="0" w:noHBand="0" w:noVBand="1"/>
      </w:tblPr>
      <w:tblGrid>
        <w:gridCol w:w="8647"/>
      </w:tblGrid>
      <w:tr w:rsidR="00091A40" w:rsidRPr="009672B0" w14:paraId="6C15463B" w14:textId="77777777" w:rsidTr="00091A40">
        <w:trPr>
          <w:cnfStyle w:val="000000100000" w:firstRow="0" w:lastRow="0" w:firstColumn="0" w:lastColumn="0" w:oddVBand="0" w:evenVBand="0" w:oddHBand="1" w:evenHBand="0" w:firstRowFirstColumn="0" w:firstRowLastColumn="0" w:lastRowFirstColumn="0" w:lastRowLastColumn="0"/>
        </w:trPr>
        <w:tc>
          <w:tcPr>
            <w:tcW w:w="8647" w:type="dxa"/>
          </w:tcPr>
          <w:p w14:paraId="04C747AC" w14:textId="4E9837D5" w:rsidR="00091A40" w:rsidRPr="009672B0" w:rsidRDefault="00091A40" w:rsidP="00D07386">
            <w:pPr>
              <w:pBdr>
                <w:top w:val="nil"/>
                <w:left w:val="nil"/>
                <w:bottom w:val="nil"/>
                <w:right w:val="nil"/>
                <w:between w:val="nil"/>
              </w:pBdr>
              <w:ind w:left="360"/>
              <w:jc w:val="both"/>
              <w:rPr>
                <w:rFonts w:ascii="Figtree" w:hAnsi="Figtree" w:cs="TTCommons-Regular"/>
                <w:b/>
                <w:bCs/>
                <w:color w:val="000000"/>
                <w:sz w:val="20"/>
                <w:szCs w:val="20"/>
              </w:rPr>
            </w:pPr>
            <w:r w:rsidRPr="009672B0">
              <w:rPr>
                <w:rFonts w:ascii="Figtree" w:hAnsi="Figtree" w:cs="TTCommons-Regular"/>
                <w:b/>
                <w:bCs/>
                <w:color w:val="000000"/>
                <w:sz w:val="20"/>
                <w:szCs w:val="20"/>
              </w:rPr>
              <w:t>Red Flags</w:t>
            </w:r>
          </w:p>
        </w:tc>
      </w:tr>
      <w:tr w:rsidR="00091A40" w:rsidRPr="009672B0" w14:paraId="3680F2D9" w14:textId="77777777" w:rsidTr="00091A40">
        <w:tc>
          <w:tcPr>
            <w:tcW w:w="8647" w:type="dxa"/>
          </w:tcPr>
          <w:p w14:paraId="1F7CC6C0" w14:textId="77777777" w:rsidR="00091A40" w:rsidRPr="009672B0" w:rsidRDefault="00091A40" w:rsidP="00091A40">
            <w:pPr>
              <w:pStyle w:val="ListParagraph"/>
              <w:numPr>
                <w:ilvl w:val="0"/>
                <w:numId w:val="52"/>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Any unsolicited requests for personal or financial information, especially via email, SMS, or phone calls;</w:t>
            </w:r>
          </w:p>
          <w:p w14:paraId="10E17B29" w14:textId="77777777" w:rsidR="00091A40" w:rsidRPr="009672B0" w:rsidRDefault="00091A40" w:rsidP="00091A40">
            <w:pPr>
              <w:pStyle w:val="ListParagraph"/>
              <w:numPr>
                <w:ilvl w:val="0"/>
                <w:numId w:val="52"/>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Urgent or threatening language;</w:t>
            </w:r>
          </w:p>
          <w:p w14:paraId="353E8B58" w14:textId="77777777" w:rsidR="00091A40" w:rsidRPr="009672B0" w:rsidRDefault="00091A40" w:rsidP="00091A40">
            <w:pPr>
              <w:pStyle w:val="ListParagraph"/>
              <w:numPr>
                <w:ilvl w:val="0"/>
                <w:numId w:val="52"/>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Unusual URLs or domain names;</w:t>
            </w:r>
          </w:p>
          <w:p w14:paraId="3B747254" w14:textId="77777777" w:rsidR="00091A40" w:rsidRPr="009672B0" w:rsidRDefault="00091A40" w:rsidP="00091A40">
            <w:pPr>
              <w:pStyle w:val="ListParagraph"/>
              <w:numPr>
                <w:ilvl w:val="0"/>
                <w:numId w:val="52"/>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Unusual email domain;</w:t>
            </w:r>
          </w:p>
          <w:p w14:paraId="7D52E5AA" w14:textId="77777777" w:rsidR="00091A40" w:rsidRPr="009672B0" w:rsidRDefault="00091A40" w:rsidP="00091A40">
            <w:pPr>
              <w:pStyle w:val="ListParagraph"/>
              <w:numPr>
                <w:ilvl w:val="0"/>
                <w:numId w:val="52"/>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Requests for account verification;</w:t>
            </w:r>
          </w:p>
          <w:p w14:paraId="7041B333" w14:textId="77777777" w:rsidR="00091A40" w:rsidRPr="009672B0" w:rsidRDefault="00091A40" w:rsidP="00091A40">
            <w:pPr>
              <w:pStyle w:val="ListParagraph"/>
              <w:numPr>
                <w:ilvl w:val="0"/>
                <w:numId w:val="52"/>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Suspicious links;</w:t>
            </w:r>
          </w:p>
          <w:p w14:paraId="2384A2E4" w14:textId="77777777" w:rsidR="00091A40" w:rsidRPr="009672B0" w:rsidRDefault="00091A40" w:rsidP="00091A40">
            <w:pPr>
              <w:pStyle w:val="ListParagraph"/>
              <w:numPr>
                <w:ilvl w:val="0"/>
                <w:numId w:val="52"/>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Poor grammar and spelling;</w:t>
            </w:r>
          </w:p>
          <w:p w14:paraId="466BF41E" w14:textId="3269C5F1" w:rsidR="00091A40" w:rsidRPr="009672B0" w:rsidRDefault="00091A40" w:rsidP="00091A40">
            <w:pPr>
              <w:pStyle w:val="ListParagraph"/>
              <w:numPr>
                <w:ilvl w:val="0"/>
                <w:numId w:val="52"/>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Unsolicited attachments or downloads.</w:t>
            </w:r>
          </w:p>
        </w:tc>
      </w:tr>
    </w:tbl>
    <w:p w14:paraId="78546F89" w14:textId="77777777" w:rsidR="005F5160" w:rsidRDefault="005F5160" w:rsidP="00D07386">
      <w:pPr>
        <w:pBdr>
          <w:top w:val="nil"/>
          <w:left w:val="nil"/>
          <w:bottom w:val="nil"/>
          <w:right w:val="nil"/>
          <w:between w:val="nil"/>
        </w:pBdr>
        <w:jc w:val="both"/>
        <w:rPr>
          <w:rFonts w:cs="TTCommons-Regular"/>
          <w:color w:val="000000"/>
          <w:sz w:val="20"/>
          <w:szCs w:val="20"/>
        </w:rPr>
      </w:pPr>
    </w:p>
    <w:p w14:paraId="2FE842AB" w14:textId="77777777" w:rsidR="009672B0" w:rsidRDefault="009672B0" w:rsidP="00D07386">
      <w:pPr>
        <w:pBdr>
          <w:top w:val="nil"/>
          <w:left w:val="nil"/>
          <w:bottom w:val="nil"/>
          <w:right w:val="nil"/>
          <w:between w:val="nil"/>
        </w:pBdr>
        <w:jc w:val="both"/>
        <w:rPr>
          <w:rFonts w:cs="TTCommons-Regular"/>
          <w:color w:val="000000"/>
          <w:sz w:val="20"/>
          <w:szCs w:val="20"/>
        </w:rPr>
      </w:pPr>
    </w:p>
    <w:p w14:paraId="01F55905" w14:textId="77777777" w:rsidR="009672B0" w:rsidRPr="005F5160" w:rsidRDefault="009672B0" w:rsidP="00D07386">
      <w:pPr>
        <w:pBdr>
          <w:top w:val="nil"/>
          <w:left w:val="nil"/>
          <w:bottom w:val="nil"/>
          <w:right w:val="nil"/>
          <w:between w:val="nil"/>
        </w:pBdr>
        <w:jc w:val="both"/>
        <w:rPr>
          <w:rFonts w:cs="TTCommons-Regular"/>
          <w:color w:val="000000"/>
          <w:sz w:val="20"/>
          <w:szCs w:val="20"/>
        </w:rPr>
      </w:pPr>
    </w:p>
    <w:p w14:paraId="5BAB5AB1" w14:textId="3602562E" w:rsidR="00AA18E2" w:rsidRPr="009672B0" w:rsidRDefault="00000000" w:rsidP="00091A40">
      <w:pPr>
        <w:ind w:left="284"/>
        <w:jc w:val="both"/>
        <w:rPr>
          <w:rFonts w:ascii="Clash Display Light" w:hAnsi="Clash Display Light"/>
          <w:b/>
          <w:bCs/>
          <w:iCs/>
        </w:rPr>
      </w:pPr>
      <w:r w:rsidRPr="009672B0">
        <w:rPr>
          <w:rFonts w:ascii="Clash Display Light" w:hAnsi="Clash Display Light"/>
          <w:b/>
          <w:bCs/>
          <w:iCs/>
        </w:rPr>
        <w:lastRenderedPageBreak/>
        <w:t>Identity theft</w:t>
      </w:r>
    </w:p>
    <w:p w14:paraId="00000126" w14:textId="043288AC" w:rsidR="000909A6" w:rsidRPr="009672B0" w:rsidRDefault="00AA18E2" w:rsidP="00091A40">
      <w:pPr>
        <w:ind w:left="284"/>
        <w:jc w:val="both"/>
        <w:rPr>
          <w:rFonts w:ascii="Figtree" w:hAnsi="Figtree"/>
          <w:sz w:val="20"/>
          <w:szCs w:val="20"/>
        </w:rPr>
      </w:pPr>
      <w:r w:rsidRPr="009672B0">
        <w:rPr>
          <w:rFonts w:ascii="Figtree" w:hAnsi="Figtree"/>
          <w:sz w:val="20"/>
          <w:szCs w:val="20"/>
        </w:rPr>
        <w:t>F</w:t>
      </w:r>
      <w:r w:rsidR="00000000" w:rsidRPr="009672B0">
        <w:rPr>
          <w:rFonts w:ascii="Figtree" w:hAnsi="Figtree"/>
          <w:sz w:val="20"/>
          <w:szCs w:val="20"/>
        </w:rPr>
        <w:t>raudsters steal personal information to impersonate individuals, open fraudulent accounts, or conduct unauthorised transactions within electronic money platforms.</w:t>
      </w:r>
      <w:r w:rsidR="00446BBB" w:rsidRPr="009672B0">
        <w:rPr>
          <w:rFonts w:ascii="Figtree" w:hAnsi="Figtree"/>
          <w:sz w:val="20"/>
          <w:szCs w:val="20"/>
        </w:rPr>
        <w:t xml:space="preserve"> Identity theft can occur after fraudsters gain access to personal information through methods such as phishing scams, data breaches, or social engineering tactics.</w:t>
      </w:r>
    </w:p>
    <w:tbl>
      <w:tblPr>
        <w:tblStyle w:val="ListTable2"/>
        <w:tblW w:w="8647" w:type="dxa"/>
        <w:tblInd w:w="284" w:type="dxa"/>
        <w:tblLayout w:type="fixed"/>
        <w:tblLook w:val="0400" w:firstRow="0" w:lastRow="0" w:firstColumn="0" w:lastColumn="0" w:noHBand="0" w:noVBand="1"/>
      </w:tblPr>
      <w:tblGrid>
        <w:gridCol w:w="8647"/>
      </w:tblGrid>
      <w:tr w:rsidR="00091A40" w:rsidRPr="009672B0" w14:paraId="3FA1BAB0" w14:textId="77777777" w:rsidTr="00091A40">
        <w:trPr>
          <w:cnfStyle w:val="000000100000" w:firstRow="0" w:lastRow="0" w:firstColumn="0" w:lastColumn="0" w:oddVBand="0" w:evenVBand="0" w:oddHBand="1" w:evenHBand="0" w:firstRowFirstColumn="0" w:firstRowLastColumn="0" w:lastRowFirstColumn="0" w:lastRowLastColumn="0"/>
        </w:trPr>
        <w:tc>
          <w:tcPr>
            <w:tcW w:w="8647" w:type="dxa"/>
          </w:tcPr>
          <w:p w14:paraId="5579E061" w14:textId="40A10032" w:rsidR="00091A40" w:rsidRPr="009672B0" w:rsidRDefault="00091A40" w:rsidP="00D07386">
            <w:pPr>
              <w:ind w:left="360"/>
              <w:jc w:val="both"/>
              <w:rPr>
                <w:rFonts w:ascii="Figtree" w:hAnsi="Figtree" w:cs="TTCommons-Regular"/>
                <w:b/>
                <w:bCs/>
                <w:color w:val="000000"/>
                <w:sz w:val="20"/>
                <w:szCs w:val="20"/>
              </w:rPr>
            </w:pPr>
            <w:r w:rsidRPr="009672B0">
              <w:rPr>
                <w:rFonts w:ascii="Figtree" w:hAnsi="Figtree" w:cs="TTCommons-Regular"/>
                <w:b/>
                <w:bCs/>
                <w:color w:val="000000"/>
                <w:sz w:val="20"/>
                <w:szCs w:val="20"/>
              </w:rPr>
              <w:t>Red Flags</w:t>
            </w:r>
          </w:p>
        </w:tc>
      </w:tr>
      <w:tr w:rsidR="00091A40" w:rsidRPr="009672B0" w14:paraId="35962288" w14:textId="77777777" w:rsidTr="00091A40">
        <w:tc>
          <w:tcPr>
            <w:tcW w:w="8647" w:type="dxa"/>
          </w:tcPr>
          <w:p w14:paraId="792840A7" w14:textId="77777777" w:rsidR="00091A40" w:rsidRPr="009672B0" w:rsidRDefault="00091A40" w:rsidP="00091A40">
            <w:pPr>
              <w:pStyle w:val="ListParagraph"/>
              <w:numPr>
                <w:ilvl w:val="0"/>
                <w:numId w:val="53"/>
              </w:numPr>
              <w:ind w:left="461"/>
              <w:jc w:val="both"/>
              <w:rPr>
                <w:rFonts w:ascii="Figtree" w:hAnsi="Figtree" w:cs="TTCommons-Regular"/>
                <w:color w:val="000000"/>
                <w:sz w:val="20"/>
                <w:szCs w:val="20"/>
              </w:rPr>
            </w:pPr>
            <w:r w:rsidRPr="009672B0">
              <w:rPr>
                <w:rFonts w:ascii="Figtree" w:hAnsi="Figtree" w:cs="TTCommons-Regular"/>
                <w:color w:val="000000"/>
                <w:sz w:val="20"/>
                <w:szCs w:val="20"/>
              </w:rPr>
              <w:t>Unexplained withdrawals or payments;</w:t>
            </w:r>
          </w:p>
          <w:p w14:paraId="6CD43F2E" w14:textId="2588B69B" w:rsidR="00091A40" w:rsidRPr="009672B0" w:rsidRDefault="00091A40" w:rsidP="00091A40">
            <w:pPr>
              <w:pStyle w:val="ListParagraph"/>
              <w:numPr>
                <w:ilvl w:val="0"/>
                <w:numId w:val="53"/>
              </w:numPr>
              <w:ind w:left="461"/>
              <w:jc w:val="both"/>
              <w:rPr>
                <w:rFonts w:ascii="Figtree" w:hAnsi="Figtree" w:cs="TTCommons-Regular"/>
                <w:color w:val="000000"/>
                <w:sz w:val="20"/>
                <w:szCs w:val="20"/>
              </w:rPr>
            </w:pPr>
            <w:r w:rsidRPr="009672B0">
              <w:rPr>
                <w:rFonts w:ascii="Figtree" w:hAnsi="Figtree" w:cs="TTCommons-Regular"/>
                <w:color w:val="000000"/>
                <w:sz w:val="20"/>
                <w:szCs w:val="20"/>
              </w:rPr>
              <w:t>Suspicious emails or messages;</w:t>
            </w:r>
          </w:p>
          <w:p w14:paraId="37A34823" w14:textId="04F9E5C7" w:rsidR="00091A40" w:rsidRPr="009672B0" w:rsidRDefault="00091A40" w:rsidP="00091A40">
            <w:pPr>
              <w:pStyle w:val="ListParagraph"/>
              <w:numPr>
                <w:ilvl w:val="0"/>
                <w:numId w:val="53"/>
              </w:numPr>
              <w:ind w:left="461"/>
              <w:jc w:val="both"/>
              <w:rPr>
                <w:rFonts w:ascii="Figtree" w:hAnsi="Figtree" w:cs="TTCommons-Regular"/>
                <w:color w:val="000000"/>
                <w:sz w:val="20"/>
                <w:szCs w:val="20"/>
              </w:rPr>
            </w:pPr>
            <w:r w:rsidRPr="009672B0">
              <w:rPr>
                <w:rFonts w:ascii="Figtree" w:hAnsi="Figtree" w:cs="TTCommons-Regular"/>
                <w:color w:val="000000"/>
                <w:sz w:val="20"/>
                <w:szCs w:val="20"/>
              </w:rPr>
              <w:t>Problems with accessing personal accounts;</w:t>
            </w:r>
          </w:p>
          <w:p w14:paraId="0371445A" w14:textId="01F0BB0B" w:rsidR="00091A40" w:rsidRPr="009672B0" w:rsidRDefault="00091A40" w:rsidP="00091A40">
            <w:pPr>
              <w:pStyle w:val="ListParagraph"/>
              <w:numPr>
                <w:ilvl w:val="0"/>
                <w:numId w:val="53"/>
              </w:numPr>
              <w:ind w:left="461"/>
              <w:jc w:val="both"/>
              <w:rPr>
                <w:rFonts w:ascii="Figtree" w:hAnsi="Figtree" w:cs="TTCommons-Regular"/>
                <w:color w:val="000000"/>
                <w:sz w:val="20"/>
                <w:szCs w:val="20"/>
              </w:rPr>
            </w:pPr>
            <w:r w:rsidRPr="009672B0">
              <w:rPr>
                <w:rFonts w:ascii="Figtree" w:hAnsi="Figtree" w:cs="TTCommons-Regular"/>
                <w:color w:val="000000"/>
                <w:sz w:val="20"/>
                <w:szCs w:val="20"/>
              </w:rPr>
              <w:t>Requests for verification;</w:t>
            </w:r>
          </w:p>
          <w:p w14:paraId="7084E6C6" w14:textId="0B444DDF" w:rsidR="00091A40" w:rsidRPr="009672B0" w:rsidRDefault="00091A40" w:rsidP="00091A40">
            <w:pPr>
              <w:pStyle w:val="ListParagraph"/>
              <w:numPr>
                <w:ilvl w:val="0"/>
                <w:numId w:val="53"/>
              </w:numPr>
              <w:ind w:left="461"/>
              <w:jc w:val="both"/>
              <w:rPr>
                <w:rFonts w:ascii="Figtree" w:hAnsi="Figtree"/>
                <w:b/>
                <w:sz w:val="20"/>
                <w:szCs w:val="20"/>
              </w:rPr>
            </w:pPr>
            <w:r w:rsidRPr="009672B0">
              <w:rPr>
                <w:rFonts w:ascii="Figtree" w:hAnsi="Figtree" w:cs="TTCommons-Regular"/>
                <w:color w:val="000000"/>
                <w:sz w:val="20"/>
                <w:szCs w:val="20"/>
              </w:rPr>
              <w:t>Unusual email communications.</w:t>
            </w:r>
          </w:p>
        </w:tc>
      </w:tr>
    </w:tbl>
    <w:p w14:paraId="21258CF3" w14:textId="77777777" w:rsidR="00091A40" w:rsidRDefault="00091A40" w:rsidP="00091A40">
      <w:pPr>
        <w:jc w:val="both"/>
        <w:rPr>
          <w:sz w:val="20"/>
          <w:szCs w:val="20"/>
        </w:rPr>
      </w:pPr>
    </w:p>
    <w:p w14:paraId="0ECE9C6D" w14:textId="098B99ED" w:rsidR="00AA18E2" w:rsidRPr="009672B0" w:rsidRDefault="00000000" w:rsidP="00091A40">
      <w:pPr>
        <w:ind w:left="284"/>
        <w:jc w:val="both"/>
        <w:rPr>
          <w:rFonts w:ascii="Clash Display Light" w:hAnsi="Clash Display Light"/>
          <w:b/>
          <w:bCs/>
          <w:iCs/>
        </w:rPr>
      </w:pPr>
      <w:r w:rsidRPr="009672B0">
        <w:rPr>
          <w:rFonts w:ascii="Clash Display Light" w:hAnsi="Clash Display Light"/>
          <w:b/>
          <w:bCs/>
          <w:iCs/>
        </w:rPr>
        <w:t>Romance Fraud</w:t>
      </w:r>
    </w:p>
    <w:p w14:paraId="0000014E" w14:textId="681DC8CC" w:rsidR="000909A6" w:rsidRPr="009672B0" w:rsidRDefault="00AA18E2" w:rsidP="00091A40">
      <w:pPr>
        <w:ind w:left="284"/>
        <w:jc w:val="both"/>
        <w:rPr>
          <w:rFonts w:ascii="Figtree" w:hAnsi="Figtree"/>
          <w:sz w:val="20"/>
          <w:szCs w:val="20"/>
        </w:rPr>
      </w:pPr>
      <w:r w:rsidRPr="009672B0">
        <w:rPr>
          <w:rFonts w:ascii="Figtree" w:hAnsi="Figtree"/>
          <w:iCs/>
          <w:sz w:val="20"/>
          <w:szCs w:val="20"/>
        </w:rPr>
        <w:t xml:space="preserve">Romance fraud </w:t>
      </w:r>
      <w:r w:rsidR="00000000" w:rsidRPr="009672B0">
        <w:rPr>
          <w:rFonts w:ascii="Figtree" w:hAnsi="Figtree"/>
          <w:iCs/>
          <w:sz w:val="20"/>
          <w:szCs w:val="20"/>
        </w:rPr>
        <w:t>involves</w:t>
      </w:r>
      <w:r w:rsidR="00000000" w:rsidRPr="009672B0">
        <w:rPr>
          <w:rFonts w:ascii="Figtree" w:hAnsi="Figtree"/>
          <w:sz w:val="20"/>
          <w:szCs w:val="20"/>
        </w:rPr>
        <w:t xml:space="preserve"> people being tricked into sending money to criminals who gain their trust and convince them that they are in a genuine relationship. They use language to manipulate, persuade and exploit so that requests for money do not raise alarm bells. These requests might be highly emotive, such as criminals claiming they need money for emergency medical care, or to pay for transport costs to visit the victim if they are overseas.</w:t>
      </w:r>
    </w:p>
    <w:tbl>
      <w:tblPr>
        <w:tblStyle w:val="ListTable2"/>
        <w:tblW w:w="8647" w:type="dxa"/>
        <w:tblInd w:w="284" w:type="dxa"/>
        <w:tblLayout w:type="fixed"/>
        <w:tblLook w:val="0400" w:firstRow="0" w:lastRow="0" w:firstColumn="0" w:lastColumn="0" w:noHBand="0" w:noVBand="1"/>
      </w:tblPr>
      <w:tblGrid>
        <w:gridCol w:w="8647"/>
      </w:tblGrid>
      <w:tr w:rsidR="00091A40" w:rsidRPr="009672B0" w14:paraId="5A138613" w14:textId="77777777" w:rsidTr="00091A40">
        <w:trPr>
          <w:cnfStyle w:val="000000100000" w:firstRow="0" w:lastRow="0" w:firstColumn="0" w:lastColumn="0" w:oddVBand="0" w:evenVBand="0" w:oddHBand="1" w:evenHBand="0" w:firstRowFirstColumn="0" w:firstRowLastColumn="0" w:lastRowFirstColumn="0" w:lastRowLastColumn="0"/>
        </w:trPr>
        <w:tc>
          <w:tcPr>
            <w:tcW w:w="8647" w:type="dxa"/>
          </w:tcPr>
          <w:p w14:paraId="7673F88F" w14:textId="3AA5D09F" w:rsidR="00091A40" w:rsidRPr="009672B0" w:rsidRDefault="00091A40" w:rsidP="00D07386">
            <w:pPr>
              <w:ind w:left="360"/>
              <w:jc w:val="both"/>
              <w:rPr>
                <w:rFonts w:ascii="Figtree" w:hAnsi="Figtree"/>
                <w:b/>
                <w:bCs/>
                <w:sz w:val="20"/>
                <w:szCs w:val="20"/>
              </w:rPr>
            </w:pPr>
            <w:r w:rsidRPr="009672B0">
              <w:rPr>
                <w:rFonts w:ascii="Figtree" w:hAnsi="Figtree"/>
                <w:b/>
                <w:bCs/>
                <w:sz w:val="20"/>
                <w:szCs w:val="20"/>
              </w:rPr>
              <w:t>Red Flags</w:t>
            </w:r>
          </w:p>
        </w:tc>
      </w:tr>
      <w:tr w:rsidR="00091A40" w:rsidRPr="009672B0" w14:paraId="35D444F9" w14:textId="77777777" w:rsidTr="00091A40">
        <w:tc>
          <w:tcPr>
            <w:tcW w:w="8647" w:type="dxa"/>
          </w:tcPr>
          <w:p w14:paraId="391F1BD3" w14:textId="763F8E0E" w:rsidR="00091A40" w:rsidRPr="009672B0" w:rsidRDefault="00091A40" w:rsidP="00091A40">
            <w:pPr>
              <w:pStyle w:val="ListParagraph"/>
              <w:numPr>
                <w:ilvl w:val="0"/>
                <w:numId w:val="54"/>
              </w:numPr>
              <w:ind w:left="461"/>
              <w:jc w:val="both"/>
              <w:rPr>
                <w:rFonts w:ascii="Figtree" w:hAnsi="Figtree"/>
                <w:sz w:val="20"/>
                <w:szCs w:val="20"/>
              </w:rPr>
            </w:pPr>
            <w:r w:rsidRPr="009672B0">
              <w:rPr>
                <w:rFonts w:ascii="Figtree" w:hAnsi="Figtree"/>
                <w:sz w:val="20"/>
                <w:szCs w:val="20"/>
              </w:rPr>
              <w:t xml:space="preserve">Emotional </w:t>
            </w:r>
            <w:r w:rsidR="009672B0">
              <w:rPr>
                <w:rFonts w:ascii="Figtree" w:hAnsi="Figtree"/>
                <w:sz w:val="20"/>
                <w:szCs w:val="20"/>
              </w:rPr>
              <w:t>m</w:t>
            </w:r>
            <w:r w:rsidRPr="009672B0">
              <w:rPr>
                <w:rFonts w:ascii="Figtree" w:hAnsi="Figtree"/>
                <w:sz w:val="20"/>
                <w:szCs w:val="20"/>
              </w:rPr>
              <w:t>anipulation;</w:t>
            </w:r>
          </w:p>
          <w:p w14:paraId="38286487" w14:textId="2155AE33" w:rsidR="00091A40" w:rsidRPr="009672B0" w:rsidRDefault="00091A40" w:rsidP="00091A40">
            <w:pPr>
              <w:pStyle w:val="ListParagraph"/>
              <w:numPr>
                <w:ilvl w:val="0"/>
                <w:numId w:val="54"/>
              </w:numPr>
              <w:ind w:left="461"/>
              <w:jc w:val="both"/>
              <w:rPr>
                <w:rFonts w:ascii="Figtree" w:hAnsi="Figtree"/>
                <w:sz w:val="20"/>
                <w:szCs w:val="20"/>
              </w:rPr>
            </w:pPr>
            <w:r w:rsidRPr="009672B0">
              <w:rPr>
                <w:rFonts w:ascii="Figtree" w:hAnsi="Figtree"/>
                <w:sz w:val="20"/>
                <w:szCs w:val="20"/>
              </w:rPr>
              <w:t>Requests for financial aid;</w:t>
            </w:r>
          </w:p>
          <w:p w14:paraId="013120AD" w14:textId="6F088E13" w:rsidR="00091A40" w:rsidRPr="009672B0" w:rsidRDefault="00091A40" w:rsidP="00091A40">
            <w:pPr>
              <w:pStyle w:val="ListParagraph"/>
              <w:numPr>
                <w:ilvl w:val="0"/>
                <w:numId w:val="54"/>
              </w:numPr>
              <w:ind w:left="461"/>
              <w:jc w:val="both"/>
              <w:rPr>
                <w:rFonts w:ascii="Figtree" w:hAnsi="Figtree"/>
                <w:sz w:val="20"/>
                <w:szCs w:val="20"/>
              </w:rPr>
            </w:pPr>
            <w:r w:rsidRPr="009672B0">
              <w:rPr>
                <w:rFonts w:ascii="Figtree" w:hAnsi="Figtree"/>
                <w:sz w:val="20"/>
                <w:szCs w:val="20"/>
              </w:rPr>
              <w:t>Avoiding face-to-face meetings;</w:t>
            </w:r>
          </w:p>
          <w:p w14:paraId="1CC4EFFD" w14:textId="363F6DE8" w:rsidR="00091A40" w:rsidRPr="009672B0" w:rsidRDefault="00091A40" w:rsidP="00091A40">
            <w:pPr>
              <w:pStyle w:val="ListParagraph"/>
              <w:numPr>
                <w:ilvl w:val="0"/>
                <w:numId w:val="54"/>
              </w:numPr>
              <w:ind w:left="461"/>
              <w:jc w:val="both"/>
              <w:rPr>
                <w:rFonts w:ascii="Figtree" w:hAnsi="Figtree"/>
                <w:sz w:val="20"/>
                <w:szCs w:val="20"/>
              </w:rPr>
            </w:pPr>
            <w:r w:rsidRPr="009672B0">
              <w:rPr>
                <w:rFonts w:ascii="Figtree" w:hAnsi="Figtree"/>
                <w:sz w:val="20"/>
                <w:szCs w:val="20"/>
              </w:rPr>
              <w:t>Inconsistencies in stories;</w:t>
            </w:r>
          </w:p>
          <w:p w14:paraId="080FDE79" w14:textId="3A6832A0" w:rsidR="00091A40" w:rsidRPr="009672B0" w:rsidRDefault="00091A40" w:rsidP="00091A40">
            <w:pPr>
              <w:pStyle w:val="ListParagraph"/>
              <w:numPr>
                <w:ilvl w:val="0"/>
                <w:numId w:val="54"/>
              </w:numPr>
              <w:ind w:left="461"/>
              <w:jc w:val="both"/>
              <w:rPr>
                <w:rFonts w:ascii="Figtree" w:hAnsi="Figtree"/>
                <w:sz w:val="20"/>
                <w:szCs w:val="20"/>
              </w:rPr>
            </w:pPr>
            <w:r w:rsidRPr="009672B0">
              <w:rPr>
                <w:rFonts w:ascii="Figtree" w:hAnsi="Figtree"/>
                <w:sz w:val="20"/>
                <w:szCs w:val="20"/>
              </w:rPr>
              <w:t>Isolation from friends and family;</w:t>
            </w:r>
          </w:p>
          <w:p w14:paraId="2A31C494" w14:textId="4A6AF9B1" w:rsidR="00091A40" w:rsidRPr="009672B0" w:rsidRDefault="00091A40" w:rsidP="00091A40">
            <w:pPr>
              <w:pStyle w:val="ListParagraph"/>
              <w:numPr>
                <w:ilvl w:val="0"/>
                <w:numId w:val="54"/>
              </w:numPr>
              <w:ind w:left="461"/>
              <w:jc w:val="both"/>
              <w:rPr>
                <w:rFonts w:ascii="Figtree" w:hAnsi="Figtree"/>
                <w:sz w:val="20"/>
                <w:szCs w:val="20"/>
              </w:rPr>
            </w:pPr>
            <w:r w:rsidRPr="009672B0">
              <w:rPr>
                <w:rFonts w:ascii="Figtree" w:hAnsi="Figtree"/>
                <w:sz w:val="20"/>
                <w:szCs w:val="20"/>
              </w:rPr>
              <w:t>Communication in overly flattering language;</w:t>
            </w:r>
          </w:p>
          <w:p w14:paraId="2F71A504" w14:textId="566C1252" w:rsidR="00091A40" w:rsidRPr="009672B0" w:rsidRDefault="00091A40" w:rsidP="00091A40">
            <w:pPr>
              <w:pStyle w:val="ListParagraph"/>
              <w:numPr>
                <w:ilvl w:val="0"/>
                <w:numId w:val="54"/>
              </w:numPr>
              <w:ind w:left="461"/>
              <w:jc w:val="both"/>
              <w:rPr>
                <w:rFonts w:ascii="Figtree" w:hAnsi="Figtree"/>
                <w:sz w:val="20"/>
                <w:szCs w:val="20"/>
              </w:rPr>
            </w:pPr>
            <w:r w:rsidRPr="009672B0">
              <w:rPr>
                <w:rFonts w:ascii="Figtree" w:hAnsi="Figtree"/>
                <w:sz w:val="20"/>
                <w:szCs w:val="20"/>
              </w:rPr>
              <w:t>Reluctance to provide personal details.</w:t>
            </w:r>
          </w:p>
        </w:tc>
      </w:tr>
    </w:tbl>
    <w:p w14:paraId="0000016A" w14:textId="77777777" w:rsidR="000909A6" w:rsidRPr="00F75F2B" w:rsidRDefault="000909A6" w:rsidP="00D07386">
      <w:pPr>
        <w:jc w:val="both"/>
        <w:rPr>
          <w:sz w:val="20"/>
          <w:szCs w:val="20"/>
        </w:rPr>
      </w:pPr>
    </w:p>
    <w:p w14:paraId="7C6C9AA1" w14:textId="1059C9FB" w:rsidR="00AA18E2" w:rsidRPr="009672B0" w:rsidRDefault="00000000" w:rsidP="00091A40">
      <w:pPr>
        <w:ind w:left="284"/>
        <w:jc w:val="both"/>
        <w:rPr>
          <w:rFonts w:ascii="Clash Display Light" w:hAnsi="Clash Display Light"/>
          <w:b/>
          <w:bCs/>
          <w:iCs/>
        </w:rPr>
      </w:pPr>
      <w:r w:rsidRPr="009672B0">
        <w:rPr>
          <w:rFonts w:ascii="Clash Display Light" w:hAnsi="Clash Display Light"/>
          <w:b/>
          <w:bCs/>
          <w:iCs/>
        </w:rPr>
        <w:t>Stolen Card Fraud</w:t>
      </w:r>
    </w:p>
    <w:p w14:paraId="0000016B" w14:textId="397505E8" w:rsidR="000909A6" w:rsidRPr="009672B0" w:rsidRDefault="00AA18E2" w:rsidP="00091A40">
      <w:pPr>
        <w:ind w:left="284"/>
        <w:jc w:val="both"/>
        <w:rPr>
          <w:rFonts w:ascii="Figtree" w:hAnsi="Figtree"/>
          <w:sz w:val="20"/>
          <w:szCs w:val="20"/>
        </w:rPr>
      </w:pPr>
      <w:r w:rsidRPr="009672B0">
        <w:rPr>
          <w:rFonts w:ascii="Figtree" w:hAnsi="Figtree"/>
          <w:iCs/>
          <w:sz w:val="20"/>
          <w:szCs w:val="20"/>
        </w:rPr>
        <w:t xml:space="preserve">This fraud type </w:t>
      </w:r>
      <w:r w:rsidR="00000000" w:rsidRPr="009672B0">
        <w:rPr>
          <w:rFonts w:ascii="Figtree" w:hAnsi="Figtree"/>
          <w:sz w:val="20"/>
          <w:szCs w:val="20"/>
        </w:rPr>
        <w:t>involves fraudsters making unauthorised payments online, usually in massive pushes like card testing or BIN attacks.</w:t>
      </w:r>
    </w:p>
    <w:p w14:paraId="0000016C" w14:textId="77777777" w:rsidR="000909A6" w:rsidRPr="009672B0" w:rsidRDefault="00000000" w:rsidP="00091A40">
      <w:pPr>
        <w:ind w:left="284"/>
        <w:jc w:val="both"/>
        <w:rPr>
          <w:rFonts w:ascii="Figtree" w:hAnsi="Figtree"/>
          <w:sz w:val="20"/>
          <w:szCs w:val="20"/>
        </w:rPr>
      </w:pPr>
      <w:r w:rsidRPr="009672B0">
        <w:rPr>
          <w:rFonts w:ascii="Figtree" w:hAnsi="Figtree"/>
          <w:i/>
          <w:iCs/>
          <w:sz w:val="20"/>
          <w:szCs w:val="20"/>
        </w:rPr>
        <w:t>Card testing</w:t>
      </w:r>
      <w:r w:rsidRPr="009672B0">
        <w:rPr>
          <w:rFonts w:ascii="Figtree" w:hAnsi="Figtree"/>
          <w:sz w:val="20"/>
          <w:szCs w:val="20"/>
        </w:rPr>
        <w:t xml:space="preserve"> is an automated process where fraudsters validate stolen credit card information by making small transactions, typically on e-commerce websites. These transactions serve to test the validity of the card details and identify which cards are still active and usable for fraudulent purposes.</w:t>
      </w:r>
    </w:p>
    <w:p w14:paraId="0000016D" w14:textId="77777777" w:rsidR="000909A6" w:rsidRPr="009672B0" w:rsidRDefault="00000000" w:rsidP="00091A40">
      <w:pPr>
        <w:ind w:left="284"/>
        <w:jc w:val="both"/>
        <w:rPr>
          <w:rFonts w:ascii="Figtree" w:hAnsi="Figtree"/>
          <w:sz w:val="20"/>
          <w:szCs w:val="20"/>
        </w:rPr>
      </w:pPr>
      <w:r w:rsidRPr="009672B0">
        <w:rPr>
          <w:rFonts w:ascii="Figtree" w:hAnsi="Figtree"/>
          <w:i/>
          <w:iCs/>
          <w:sz w:val="20"/>
          <w:szCs w:val="20"/>
        </w:rPr>
        <w:t>BIN attacks</w:t>
      </w:r>
      <w:r w:rsidRPr="009672B0">
        <w:rPr>
          <w:rFonts w:ascii="Figtree" w:hAnsi="Figtree"/>
          <w:sz w:val="20"/>
          <w:szCs w:val="20"/>
        </w:rPr>
        <w:t xml:space="preserve"> involve targeting specific ranges of credit or debit card numbers issued by a particular bank or financial institution. Each bank identification number (BIN) identifies the institution that issued the card, as well as other details such as card type and brand.</w:t>
      </w:r>
    </w:p>
    <w:p w14:paraId="0000016E" w14:textId="77777777" w:rsidR="000909A6" w:rsidRPr="009672B0" w:rsidRDefault="00000000" w:rsidP="00091A40">
      <w:pPr>
        <w:ind w:left="284"/>
        <w:jc w:val="both"/>
        <w:rPr>
          <w:rFonts w:ascii="Figtree" w:hAnsi="Figtree"/>
          <w:sz w:val="20"/>
          <w:szCs w:val="20"/>
        </w:rPr>
      </w:pPr>
      <w:r w:rsidRPr="009672B0">
        <w:rPr>
          <w:rFonts w:ascii="Figtree" w:hAnsi="Figtree"/>
          <w:sz w:val="20"/>
          <w:szCs w:val="20"/>
        </w:rPr>
        <w:t>These two fraud types apply to VIALET’s acquiring product only.</w:t>
      </w:r>
    </w:p>
    <w:tbl>
      <w:tblPr>
        <w:tblStyle w:val="ListTable2"/>
        <w:tblW w:w="8647" w:type="dxa"/>
        <w:tblInd w:w="284" w:type="dxa"/>
        <w:tblLayout w:type="fixed"/>
        <w:tblLook w:val="0400" w:firstRow="0" w:lastRow="0" w:firstColumn="0" w:lastColumn="0" w:noHBand="0" w:noVBand="1"/>
      </w:tblPr>
      <w:tblGrid>
        <w:gridCol w:w="8647"/>
      </w:tblGrid>
      <w:tr w:rsidR="00091A40" w:rsidRPr="009672B0" w14:paraId="7EF9EB8D" w14:textId="77777777" w:rsidTr="00091A40">
        <w:trPr>
          <w:cnfStyle w:val="000000100000" w:firstRow="0" w:lastRow="0" w:firstColumn="0" w:lastColumn="0" w:oddVBand="0" w:evenVBand="0" w:oddHBand="1" w:evenHBand="0" w:firstRowFirstColumn="0" w:firstRowLastColumn="0" w:lastRowFirstColumn="0" w:lastRowLastColumn="0"/>
        </w:trPr>
        <w:tc>
          <w:tcPr>
            <w:tcW w:w="8647" w:type="dxa"/>
          </w:tcPr>
          <w:p w14:paraId="66705857" w14:textId="47DDDE8C" w:rsidR="00091A40" w:rsidRPr="009672B0" w:rsidRDefault="00091A40" w:rsidP="00D07386">
            <w:pPr>
              <w:pBdr>
                <w:top w:val="nil"/>
                <w:left w:val="nil"/>
                <w:bottom w:val="nil"/>
                <w:right w:val="nil"/>
                <w:between w:val="nil"/>
              </w:pBdr>
              <w:ind w:left="360"/>
              <w:jc w:val="both"/>
              <w:rPr>
                <w:rFonts w:ascii="Figtree" w:hAnsi="Figtree" w:cs="TTCommons-Regular"/>
                <w:b/>
                <w:bCs/>
                <w:color w:val="000000"/>
                <w:sz w:val="20"/>
                <w:szCs w:val="20"/>
              </w:rPr>
            </w:pPr>
            <w:r w:rsidRPr="009672B0">
              <w:rPr>
                <w:rFonts w:ascii="Figtree" w:hAnsi="Figtree" w:cs="TTCommons-Regular"/>
                <w:b/>
                <w:bCs/>
                <w:color w:val="000000"/>
                <w:sz w:val="20"/>
                <w:szCs w:val="20"/>
              </w:rPr>
              <w:t>Red Flags</w:t>
            </w:r>
          </w:p>
        </w:tc>
      </w:tr>
      <w:tr w:rsidR="00091A40" w:rsidRPr="009672B0" w14:paraId="677DF751" w14:textId="77777777" w:rsidTr="00091A40">
        <w:tc>
          <w:tcPr>
            <w:tcW w:w="8647" w:type="dxa"/>
          </w:tcPr>
          <w:p w14:paraId="5C616FAA" w14:textId="77777777" w:rsidR="00091A40" w:rsidRPr="009672B0" w:rsidRDefault="00091A40" w:rsidP="00091A40">
            <w:pPr>
              <w:pStyle w:val="ListParagraph"/>
              <w:numPr>
                <w:ilvl w:val="0"/>
                <w:numId w:val="55"/>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Unusual time of the transactions;</w:t>
            </w:r>
          </w:p>
          <w:p w14:paraId="2105AFD1" w14:textId="77777777" w:rsidR="00091A40" w:rsidRPr="009672B0" w:rsidRDefault="00091A40" w:rsidP="00091A40">
            <w:pPr>
              <w:pStyle w:val="ListParagraph"/>
              <w:numPr>
                <w:ilvl w:val="0"/>
                <w:numId w:val="55"/>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Transactions that are incoming in unusually fast pace;</w:t>
            </w:r>
          </w:p>
          <w:p w14:paraId="7236A8CF" w14:textId="77777777" w:rsidR="00091A40" w:rsidRPr="009672B0" w:rsidRDefault="00091A40" w:rsidP="00091A40">
            <w:pPr>
              <w:pStyle w:val="ListParagraph"/>
              <w:numPr>
                <w:ilvl w:val="0"/>
                <w:numId w:val="55"/>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Repeated use of BINs (Bank Identification Numbers);</w:t>
            </w:r>
          </w:p>
          <w:p w14:paraId="35F6FCC5" w14:textId="77777777" w:rsidR="00091A40" w:rsidRPr="009672B0" w:rsidRDefault="00091A40" w:rsidP="00091A40">
            <w:pPr>
              <w:pStyle w:val="ListParagraph"/>
              <w:numPr>
                <w:ilvl w:val="0"/>
                <w:numId w:val="55"/>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lastRenderedPageBreak/>
              <w:t>Slight variations in card details (one or two numbers off);</w:t>
            </w:r>
          </w:p>
          <w:p w14:paraId="5F4BD6E0" w14:textId="77777777" w:rsidR="00091A40" w:rsidRPr="009672B0" w:rsidRDefault="00091A40" w:rsidP="00091A40">
            <w:pPr>
              <w:pStyle w:val="ListParagraph"/>
              <w:numPr>
                <w:ilvl w:val="0"/>
                <w:numId w:val="55"/>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High amount of failed authorizations;</w:t>
            </w:r>
          </w:p>
          <w:p w14:paraId="00000172" w14:textId="7714F9BB" w:rsidR="00091A40" w:rsidRPr="009672B0" w:rsidRDefault="00091A40" w:rsidP="00091A40">
            <w:pPr>
              <w:pStyle w:val="ListParagraph"/>
              <w:numPr>
                <w:ilvl w:val="0"/>
                <w:numId w:val="55"/>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Low and round value purchases (10 EUR, 20 EUR).</w:t>
            </w:r>
          </w:p>
        </w:tc>
      </w:tr>
    </w:tbl>
    <w:p w14:paraId="0000019A" w14:textId="77777777" w:rsidR="000909A6" w:rsidRPr="009672B0" w:rsidRDefault="000909A6" w:rsidP="00D07386">
      <w:pPr>
        <w:jc w:val="both"/>
        <w:rPr>
          <w:rFonts w:ascii="Figtree" w:hAnsi="Figtree"/>
          <w:sz w:val="20"/>
          <w:szCs w:val="20"/>
        </w:rPr>
      </w:pPr>
    </w:p>
    <w:p w14:paraId="7E30F1BA" w14:textId="3C93BD44" w:rsidR="00AA18E2" w:rsidRPr="009672B0" w:rsidRDefault="00000000" w:rsidP="00091A40">
      <w:pPr>
        <w:ind w:left="284"/>
        <w:jc w:val="both"/>
        <w:rPr>
          <w:rFonts w:ascii="Clash Display Light" w:hAnsi="Clash Display Light"/>
          <w:b/>
          <w:bCs/>
          <w:iCs/>
        </w:rPr>
      </w:pPr>
      <w:r w:rsidRPr="009672B0">
        <w:rPr>
          <w:rFonts w:ascii="Clash Display Light" w:hAnsi="Clash Display Light"/>
          <w:b/>
          <w:bCs/>
          <w:iCs/>
        </w:rPr>
        <w:t>Money mules</w:t>
      </w:r>
    </w:p>
    <w:p w14:paraId="0000019B" w14:textId="46535056" w:rsidR="000909A6" w:rsidRPr="009672B0" w:rsidRDefault="00AA18E2" w:rsidP="00091A40">
      <w:pPr>
        <w:ind w:left="284"/>
        <w:jc w:val="both"/>
        <w:rPr>
          <w:rFonts w:ascii="Figtree" w:hAnsi="Figtree"/>
          <w:sz w:val="20"/>
          <w:szCs w:val="20"/>
        </w:rPr>
      </w:pPr>
      <w:r w:rsidRPr="009672B0">
        <w:rPr>
          <w:rFonts w:ascii="Figtree" w:hAnsi="Figtree"/>
          <w:iCs/>
          <w:sz w:val="20"/>
          <w:szCs w:val="20"/>
        </w:rPr>
        <w:t>Money Mules are</w:t>
      </w:r>
      <w:r w:rsidRPr="009672B0">
        <w:rPr>
          <w:rFonts w:ascii="Figtree" w:hAnsi="Figtree"/>
          <w:i/>
          <w:sz w:val="20"/>
          <w:szCs w:val="20"/>
          <w:u w:val="single"/>
        </w:rPr>
        <w:t xml:space="preserve"> </w:t>
      </w:r>
      <w:r w:rsidR="00000000" w:rsidRPr="009672B0">
        <w:rPr>
          <w:rFonts w:ascii="Figtree" w:hAnsi="Figtree"/>
          <w:sz w:val="20"/>
          <w:szCs w:val="20"/>
        </w:rPr>
        <w:t>individuals who are recruited, often unknowingly, by criminals to transfer illegally obtained money between different accounts or jurisdictions. These individuals are used as intermediaries to launder money and conceal the true origins of illicit funds.</w:t>
      </w:r>
    </w:p>
    <w:tbl>
      <w:tblPr>
        <w:tblStyle w:val="ListTable2"/>
        <w:tblW w:w="8647" w:type="dxa"/>
        <w:tblInd w:w="284" w:type="dxa"/>
        <w:tblLayout w:type="fixed"/>
        <w:tblLook w:val="0400" w:firstRow="0" w:lastRow="0" w:firstColumn="0" w:lastColumn="0" w:noHBand="0" w:noVBand="1"/>
      </w:tblPr>
      <w:tblGrid>
        <w:gridCol w:w="8647"/>
      </w:tblGrid>
      <w:tr w:rsidR="00091A40" w:rsidRPr="009672B0" w14:paraId="183C21E2" w14:textId="77777777" w:rsidTr="00091A40">
        <w:trPr>
          <w:cnfStyle w:val="000000100000" w:firstRow="0" w:lastRow="0" w:firstColumn="0" w:lastColumn="0" w:oddVBand="0" w:evenVBand="0" w:oddHBand="1" w:evenHBand="0" w:firstRowFirstColumn="0" w:firstRowLastColumn="0" w:lastRowFirstColumn="0" w:lastRowLastColumn="0"/>
        </w:trPr>
        <w:tc>
          <w:tcPr>
            <w:tcW w:w="8647" w:type="dxa"/>
          </w:tcPr>
          <w:p w14:paraId="03BD824B" w14:textId="44437EB2" w:rsidR="00091A40" w:rsidRPr="009672B0" w:rsidRDefault="00091A40" w:rsidP="00D07386">
            <w:pPr>
              <w:pBdr>
                <w:top w:val="nil"/>
                <w:left w:val="nil"/>
                <w:bottom w:val="nil"/>
                <w:right w:val="nil"/>
                <w:between w:val="nil"/>
              </w:pBdr>
              <w:ind w:left="360"/>
              <w:jc w:val="both"/>
              <w:rPr>
                <w:rFonts w:ascii="Figtree" w:hAnsi="Figtree" w:cs="TTCommons-Regular"/>
                <w:b/>
                <w:bCs/>
                <w:color w:val="000000"/>
                <w:sz w:val="20"/>
                <w:szCs w:val="20"/>
              </w:rPr>
            </w:pPr>
            <w:r w:rsidRPr="009672B0">
              <w:rPr>
                <w:rFonts w:ascii="Figtree" w:hAnsi="Figtree" w:cs="TTCommons-Regular"/>
                <w:b/>
                <w:bCs/>
                <w:color w:val="000000"/>
                <w:sz w:val="20"/>
                <w:szCs w:val="20"/>
              </w:rPr>
              <w:t>Red Flags</w:t>
            </w:r>
          </w:p>
        </w:tc>
      </w:tr>
      <w:tr w:rsidR="00091A40" w:rsidRPr="009672B0" w14:paraId="6211E339" w14:textId="77777777" w:rsidTr="00091A40">
        <w:tc>
          <w:tcPr>
            <w:tcW w:w="8647" w:type="dxa"/>
          </w:tcPr>
          <w:p w14:paraId="1D704330" w14:textId="1DABC8D0" w:rsidR="00091A40" w:rsidRPr="009672B0" w:rsidRDefault="00091A40" w:rsidP="00091A40">
            <w:pPr>
              <w:pStyle w:val="ListParagraph"/>
              <w:numPr>
                <w:ilvl w:val="0"/>
                <w:numId w:val="56"/>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Unexpected job offers;</w:t>
            </w:r>
          </w:p>
          <w:p w14:paraId="1B2D1017" w14:textId="624396D9" w:rsidR="00091A40" w:rsidRPr="009672B0" w:rsidRDefault="00091A40" w:rsidP="00091A40">
            <w:pPr>
              <w:pStyle w:val="ListParagraph"/>
              <w:numPr>
                <w:ilvl w:val="0"/>
                <w:numId w:val="56"/>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Vague/unusual job descriptions;</w:t>
            </w:r>
          </w:p>
          <w:p w14:paraId="6CA6B9B6" w14:textId="55FEE104" w:rsidR="00091A40" w:rsidRPr="009672B0" w:rsidRDefault="00091A40" w:rsidP="00091A40">
            <w:pPr>
              <w:pStyle w:val="ListParagraph"/>
              <w:numPr>
                <w:ilvl w:val="0"/>
                <w:numId w:val="56"/>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Lack of employment documentation;</w:t>
            </w:r>
          </w:p>
          <w:p w14:paraId="7D42C1A2" w14:textId="2E0B3CA8" w:rsidR="00091A40" w:rsidRPr="009672B0" w:rsidRDefault="00091A40" w:rsidP="00091A40">
            <w:pPr>
              <w:pStyle w:val="ListParagraph"/>
              <w:numPr>
                <w:ilvl w:val="0"/>
                <w:numId w:val="56"/>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High payments for minimal work;</w:t>
            </w:r>
          </w:p>
          <w:p w14:paraId="18F56347" w14:textId="0022C995" w:rsidR="00091A40" w:rsidRPr="009672B0" w:rsidRDefault="00091A40" w:rsidP="00091A40">
            <w:pPr>
              <w:pStyle w:val="ListParagraph"/>
              <w:numPr>
                <w:ilvl w:val="0"/>
                <w:numId w:val="56"/>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Lack of clear communication;</w:t>
            </w:r>
          </w:p>
          <w:p w14:paraId="000001A2" w14:textId="519C16B8" w:rsidR="00091A40" w:rsidRPr="009672B0" w:rsidRDefault="00091A40" w:rsidP="00091A40">
            <w:pPr>
              <w:pStyle w:val="ListParagraph"/>
              <w:numPr>
                <w:ilvl w:val="0"/>
                <w:numId w:val="56"/>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No clear employment contracts.</w:t>
            </w:r>
          </w:p>
        </w:tc>
      </w:tr>
    </w:tbl>
    <w:p w14:paraId="000001A9" w14:textId="77777777" w:rsidR="000909A6" w:rsidRPr="00F75F2B" w:rsidRDefault="000909A6" w:rsidP="00D07386">
      <w:pPr>
        <w:jc w:val="both"/>
        <w:rPr>
          <w:sz w:val="20"/>
          <w:szCs w:val="20"/>
        </w:rPr>
      </w:pPr>
    </w:p>
    <w:p w14:paraId="1F4F03F6" w14:textId="77777777" w:rsidR="00091A40" w:rsidRPr="009672B0" w:rsidRDefault="00000000" w:rsidP="00091A40">
      <w:pPr>
        <w:ind w:left="284"/>
        <w:jc w:val="both"/>
        <w:rPr>
          <w:rFonts w:ascii="Clash Display Light" w:hAnsi="Clash Display Light"/>
          <w:i/>
        </w:rPr>
      </w:pPr>
      <w:r w:rsidRPr="009672B0">
        <w:rPr>
          <w:rFonts w:ascii="Clash Display Light" w:hAnsi="Clash Display Light"/>
          <w:b/>
          <w:bCs/>
          <w:iCs/>
        </w:rPr>
        <w:t>Investment fraud</w:t>
      </w:r>
      <w:r w:rsidRPr="009672B0">
        <w:rPr>
          <w:rFonts w:ascii="Clash Display Light" w:hAnsi="Clash Display Light"/>
          <w:i/>
        </w:rPr>
        <w:t xml:space="preserve"> </w:t>
      </w:r>
    </w:p>
    <w:p w14:paraId="000001AA" w14:textId="41D01650" w:rsidR="000909A6" w:rsidRPr="009672B0" w:rsidRDefault="00091A40" w:rsidP="00091A40">
      <w:pPr>
        <w:ind w:left="284"/>
        <w:jc w:val="both"/>
        <w:rPr>
          <w:rFonts w:ascii="Figtree" w:hAnsi="Figtree"/>
          <w:sz w:val="20"/>
          <w:szCs w:val="20"/>
        </w:rPr>
      </w:pPr>
      <w:r w:rsidRPr="009672B0">
        <w:rPr>
          <w:rFonts w:ascii="Figtree" w:hAnsi="Figtree"/>
          <w:iCs/>
          <w:sz w:val="20"/>
          <w:szCs w:val="20"/>
        </w:rPr>
        <w:t>Investment fraud</w:t>
      </w:r>
      <w:r w:rsidR="00000000" w:rsidRPr="009672B0">
        <w:rPr>
          <w:rFonts w:ascii="Figtree" w:hAnsi="Figtree"/>
          <w:i/>
          <w:sz w:val="20"/>
          <w:szCs w:val="20"/>
        </w:rPr>
        <w:t xml:space="preserve"> </w:t>
      </w:r>
      <w:r w:rsidR="00000000" w:rsidRPr="009672B0">
        <w:rPr>
          <w:rFonts w:ascii="Figtree" w:hAnsi="Figtree"/>
          <w:sz w:val="20"/>
          <w:szCs w:val="20"/>
        </w:rPr>
        <w:t>involves deceptive practices where investors are misled about the nature of an investment opportunity. This can include misrepresenting the potential returns, the underlying assets, or the risks involved. Instead of legitimate investment activities generating returns, the scheme uses investors' funds for unauthorised purposes or personal gain. Investment fraud can take various forms beyond Ponzi schemes, such as advance fee scams, pyramid schemes, or unauthorised trading schemes.</w:t>
      </w:r>
    </w:p>
    <w:tbl>
      <w:tblPr>
        <w:tblStyle w:val="ListTable2"/>
        <w:tblW w:w="8647" w:type="dxa"/>
        <w:tblInd w:w="284" w:type="dxa"/>
        <w:tblLayout w:type="fixed"/>
        <w:tblLook w:val="0400" w:firstRow="0" w:lastRow="0" w:firstColumn="0" w:lastColumn="0" w:noHBand="0" w:noVBand="1"/>
      </w:tblPr>
      <w:tblGrid>
        <w:gridCol w:w="8647"/>
      </w:tblGrid>
      <w:tr w:rsidR="00AA18E2" w:rsidRPr="009672B0" w14:paraId="2F4D70FD" w14:textId="77777777" w:rsidTr="00AA18E2">
        <w:trPr>
          <w:cnfStyle w:val="000000100000" w:firstRow="0" w:lastRow="0" w:firstColumn="0" w:lastColumn="0" w:oddVBand="0" w:evenVBand="0" w:oddHBand="1" w:evenHBand="0" w:firstRowFirstColumn="0" w:firstRowLastColumn="0" w:lastRowFirstColumn="0" w:lastRowLastColumn="0"/>
        </w:trPr>
        <w:tc>
          <w:tcPr>
            <w:tcW w:w="8647" w:type="dxa"/>
          </w:tcPr>
          <w:p w14:paraId="2B59CE56" w14:textId="6952319E" w:rsidR="00AA18E2" w:rsidRPr="009672B0" w:rsidRDefault="00AA18E2" w:rsidP="00D07386">
            <w:pPr>
              <w:pBdr>
                <w:top w:val="nil"/>
                <w:left w:val="nil"/>
                <w:bottom w:val="nil"/>
                <w:right w:val="nil"/>
                <w:between w:val="nil"/>
              </w:pBdr>
              <w:ind w:left="360"/>
              <w:jc w:val="both"/>
              <w:rPr>
                <w:rFonts w:ascii="Figtree" w:hAnsi="Figtree" w:cs="TTCommons-Regular"/>
                <w:b/>
                <w:bCs/>
                <w:color w:val="000000"/>
                <w:sz w:val="20"/>
                <w:szCs w:val="20"/>
              </w:rPr>
            </w:pPr>
            <w:r w:rsidRPr="009672B0">
              <w:rPr>
                <w:rFonts w:ascii="Figtree" w:hAnsi="Figtree" w:cs="TTCommons-Regular"/>
                <w:b/>
                <w:bCs/>
                <w:color w:val="000000"/>
                <w:sz w:val="20"/>
                <w:szCs w:val="20"/>
              </w:rPr>
              <w:t>Red Flags</w:t>
            </w:r>
          </w:p>
        </w:tc>
      </w:tr>
      <w:tr w:rsidR="00AA18E2" w:rsidRPr="009672B0" w14:paraId="31305239" w14:textId="77777777" w:rsidTr="00AA18E2">
        <w:tc>
          <w:tcPr>
            <w:tcW w:w="8647" w:type="dxa"/>
          </w:tcPr>
          <w:p w14:paraId="000001AC" w14:textId="5B503C45" w:rsidR="00AA18E2" w:rsidRPr="009672B0" w:rsidRDefault="00AA18E2" w:rsidP="00AA18E2">
            <w:pPr>
              <w:pStyle w:val="ListParagraph"/>
              <w:numPr>
                <w:ilvl w:val="0"/>
                <w:numId w:val="57"/>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Unsustainable returns - Ponzi schemes typically promise unusually high or consistent returns on investment with minimal or no risk;</w:t>
            </w:r>
          </w:p>
          <w:p w14:paraId="424CB029" w14:textId="77777777" w:rsidR="00AA18E2" w:rsidRPr="009672B0" w:rsidRDefault="00AA18E2" w:rsidP="00AA18E2">
            <w:pPr>
              <w:pStyle w:val="ListParagraph"/>
              <w:numPr>
                <w:ilvl w:val="0"/>
                <w:numId w:val="57"/>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Operating from high-risk jurisdiction;</w:t>
            </w:r>
          </w:p>
          <w:p w14:paraId="071C04A5" w14:textId="6C207685" w:rsidR="00AA18E2" w:rsidRPr="009672B0" w:rsidRDefault="00AA18E2" w:rsidP="00AA18E2">
            <w:pPr>
              <w:pStyle w:val="ListParagraph"/>
              <w:numPr>
                <w:ilvl w:val="0"/>
                <w:numId w:val="57"/>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Complex investment structures;</w:t>
            </w:r>
          </w:p>
          <w:p w14:paraId="3D42B35A" w14:textId="346FC733" w:rsidR="00AA18E2" w:rsidRPr="009672B0" w:rsidRDefault="00AA18E2" w:rsidP="00AA18E2">
            <w:pPr>
              <w:pStyle w:val="ListParagraph"/>
              <w:numPr>
                <w:ilvl w:val="0"/>
                <w:numId w:val="57"/>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Promises of guaranteed returns;</w:t>
            </w:r>
          </w:p>
          <w:p w14:paraId="6BD2EC95" w14:textId="3F39C52C" w:rsidR="00AA18E2" w:rsidRPr="009672B0" w:rsidRDefault="00AA18E2" w:rsidP="00AA18E2">
            <w:pPr>
              <w:pStyle w:val="ListParagraph"/>
              <w:numPr>
                <w:ilvl w:val="0"/>
                <w:numId w:val="57"/>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Unknown financial institutions;</w:t>
            </w:r>
          </w:p>
          <w:p w14:paraId="000001B2" w14:textId="264DF410" w:rsidR="00AA18E2" w:rsidRPr="009672B0" w:rsidRDefault="00AA18E2" w:rsidP="00AA18E2">
            <w:pPr>
              <w:pStyle w:val="ListParagraph"/>
              <w:numPr>
                <w:ilvl w:val="0"/>
                <w:numId w:val="57"/>
              </w:numPr>
              <w:pBdr>
                <w:top w:val="nil"/>
                <w:left w:val="nil"/>
                <w:bottom w:val="nil"/>
                <w:right w:val="nil"/>
                <w:between w:val="nil"/>
              </w:pBdr>
              <w:ind w:left="461"/>
              <w:jc w:val="both"/>
              <w:rPr>
                <w:rFonts w:ascii="Figtree" w:hAnsi="Figtree" w:cs="TTCommons-Regular"/>
                <w:color w:val="000000"/>
                <w:sz w:val="20"/>
                <w:szCs w:val="20"/>
              </w:rPr>
            </w:pPr>
            <w:r w:rsidRPr="009672B0">
              <w:rPr>
                <w:rFonts w:ascii="Figtree" w:hAnsi="Figtree" w:cs="TTCommons-Regular"/>
                <w:color w:val="000000"/>
                <w:sz w:val="20"/>
                <w:szCs w:val="20"/>
              </w:rPr>
              <w:t>Lack of proper documentation.</w:t>
            </w:r>
          </w:p>
        </w:tc>
      </w:tr>
    </w:tbl>
    <w:p w14:paraId="000001CE" w14:textId="49D0401D" w:rsidR="000909A6" w:rsidRPr="00F75F2B" w:rsidRDefault="000909A6" w:rsidP="00D07386">
      <w:pPr>
        <w:pBdr>
          <w:top w:val="nil"/>
          <w:left w:val="nil"/>
          <w:bottom w:val="nil"/>
          <w:right w:val="nil"/>
          <w:between w:val="nil"/>
        </w:pBdr>
        <w:spacing w:after="0"/>
        <w:jc w:val="both"/>
        <w:rPr>
          <w:rFonts w:cs="TTCommons-Regular"/>
          <w:b/>
          <w:color w:val="000000"/>
          <w:sz w:val="20"/>
          <w:szCs w:val="20"/>
        </w:rPr>
      </w:pPr>
    </w:p>
    <w:p w14:paraId="3DC78CFE" w14:textId="4B8A1325" w:rsidR="008F1583" w:rsidRPr="009672B0" w:rsidRDefault="008F1583" w:rsidP="00D07386">
      <w:pPr>
        <w:pStyle w:val="Heading1"/>
        <w:spacing w:before="240" w:after="240"/>
        <w:ind w:left="360"/>
        <w:rPr>
          <w:rFonts w:ascii="Clash Display Medium" w:hAnsi="Clash Display Medium"/>
          <w:szCs w:val="24"/>
        </w:rPr>
      </w:pPr>
      <w:bookmarkStart w:id="6" w:name="_Toc173336806"/>
      <w:r w:rsidRPr="009672B0">
        <w:rPr>
          <w:rFonts w:ascii="Clash Display Medium" w:hAnsi="Clash Display Medium"/>
          <w:szCs w:val="24"/>
        </w:rPr>
        <w:t xml:space="preserve">Reimbursement of Losses </w:t>
      </w:r>
      <w:bookmarkEnd w:id="6"/>
    </w:p>
    <w:p w14:paraId="1928DDBB" w14:textId="77777777" w:rsidR="009672B0" w:rsidRPr="009672B0" w:rsidRDefault="009672B0" w:rsidP="009672B0">
      <w:pPr>
        <w:jc w:val="both"/>
        <w:rPr>
          <w:rFonts w:ascii="Figtree" w:hAnsi="Figtree"/>
          <w:sz w:val="20"/>
          <w:szCs w:val="20"/>
          <w:lang w:val="en-150"/>
        </w:rPr>
      </w:pPr>
      <w:r w:rsidRPr="009672B0">
        <w:rPr>
          <w:rFonts w:ascii="Figtree" w:hAnsi="Figtree"/>
          <w:sz w:val="20"/>
          <w:szCs w:val="20"/>
          <w:lang w:val="en-150"/>
        </w:rPr>
        <w:t>VIALET must ensure that handling customer complaints and requests about disputed payments complies with legal requirements and standard practices, ensuring thorough and careful assessments of each case.</w:t>
      </w:r>
    </w:p>
    <w:p w14:paraId="4FCF0422" w14:textId="77777777" w:rsidR="009672B0" w:rsidRPr="009672B0" w:rsidRDefault="009672B0" w:rsidP="009672B0">
      <w:pPr>
        <w:jc w:val="both"/>
        <w:rPr>
          <w:rFonts w:ascii="Figtree" w:hAnsi="Figtree"/>
          <w:sz w:val="20"/>
          <w:szCs w:val="20"/>
          <w:lang w:val="en-150"/>
        </w:rPr>
      </w:pPr>
      <w:r w:rsidRPr="009672B0">
        <w:rPr>
          <w:rFonts w:ascii="Figtree" w:hAnsi="Figtree"/>
          <w:sz w:val="20"/>
          <w:szCs w:val="20"/>
          <w:lang w:val="en-150"/>
        </w:rPr>
        <w:t>Upon receiving a complaint about a disputed payment transaction, VIALET shall start the examination immediately and no later than by the end of the next working day. The examination must be completed within the maximum time limits set by legislation for handling customer complaints.</w:t>
      </w:r>
    </w:p>
    <w:p w14:paraId="1CE9F490" w14:textId="77777777" w:rsidR="00D769BC" w:rsidRPr="00D769BC" w:rsidRDefault="00D769BC" w:rsidP="00D769BC">
      <w:pPr>
        <w:jc w:val="both"/>
        <w:rPr>
          <w:rFonts w:ascii="Figtree" w:hAnsi="Figtree"/>
          <w:sz w:val="20"/>
          <w:szCs w:val="20"/>
          <w:lang w:val="en-150"/>
        </w:rPr>
      </w:pPr>
      <w:r w:rsidRPr="00D769BC">
        <w:rPr>
          <w:rFonts w:ascii="Figtree" w:hAnsi="Figtree"/>
          <w:sz w:val="20"/>
          <w:szCs w:val="20"/>
          <w:lang w:val="en-150"/>
        </w:rPr>
        <w:t>When a customer disputes a payment transaction as being executed by fraudsters or due to fraudulent activity, it must first be determined if the transaction should be considered authorized.</w:t>
      </w:r>
    </w:p>
    <w:p w14:paraId="56580291" w14:textId="77777777" w:rsidR="00D769BC" w:rsidRPr="00D769BC" w:rsidRDefault="00D769BC" w:rsidP="00D769BC">
      <w:pPr>
        <w:jc w:val="both"/>
        <w:rPr>
          <w:rFonts w:ascii="Figtree" w:hAnsi="Figtree"/>
          <w:sz w:val="20"/>
          <w:szCs w:val="20"/>
          <w:lang w:val="en-150"/>
        </w:rPr>
      </w:pPr>
      <w:r w:rsidRPr="00D769BC">
        <w:rPr>
          <w:rFonts w:ascii="Figtree" w:hAnsi="Figtree"/>
          <w:sz w:val="20"/>
          <w:szCs w:val="20"/>
          <w:lang w:val="en-150"/>
        </w:rPr>
        <w:lastRenderedPageBreak/>
        <w:t>If the customer challenges the authorization of the payment transaction, the Company is responsible for proving that the transaction was properly authorized according to the agreed terms and procedures.</w:t>
      </w:r>
    </w:p>
    <w:p w14:paraId="3E4DAA68" w14:textId="77777777" w:rsidR="00D769BC" w:rsidRPr="00D769BC" w:rsidRDefault="00D769BC" w:rsidP="00D769BC">
      <w:pPr>
        <w:jc w:val="both"/>
        <w:rPr>
          <w:rFonts w:ascii="Figtree" w:hAnsi="Figtree"/>
          <w:sz w:val="20"/>
          <w:szCs w:val="20"/>
          <w:lang w:val="en-150"/>
        </w:rPr>
      </w:pPr>
      <w:r w:rsidRPr="00D769BC">
        <w:rPr>
          <w:rFonts w:ascii="Figtree" w:hAnsi="Figtree"/>
          <w:sz w:val="20"/>
          <w:szCs w:val="20"/>
          <w:lang w:val="en-150"/>
        </w:rPr>
        <w:t>A payment transaction, although formally authorized according to agreed procedures, may still be considered unauthorized if there is evidence that the customer did not genuinely intend to execute it. This could include cases where the customer did not express intent, was influenced by a third party, or was misled about the transaction.</w:t>
      </w:r>
    </w:p>
    <w:p w14:paraId="448F1F30" w14:textId="77777777" w:rsidR="00D769BC" w:rsidRPr="00D769BC" w:rsidRDefault="00D769BC" w:rsidP="00D769BC">
      <w:pPr>
        <w:jc w:val="both"/>
        <w:rPr>
          <w:rFonts w:ascii="Figtree" w:hAnsi="Figtree"/>
          <w:sz w:val="20"/>
          <w:szCs w:val="20"/>
          <w:lang w:val="en-150"/>
        </w:rPr>
      </w:pPr>
      <w:r w:rsidRPr="00D769BC">
        <w:rPr>
          <w:rFonts w:ascii="Figtree" w:hAnsi="Figtree"/>
          <w:sz w:val="20"/>
          <w:szCs w:val="20"/>
          <w:lang w:val="en-150"/>
        </w:rPr>
        <w:t>If there is strong evidence that the transaction was initiated through unlawful actions, such as misuse of the customer's payment instrument or security features, or significant misleading about the transaction's details, the transaction may be deemed unauthorized due to these factors.</w:t>
      </w:r>
    </w:p>
    <w:p w14:paraId="602781E6" w14:textId="77777777" w:rsidR="00D769BC" w:rsidRPr="00D769BC" w:rsidRDefault="00D769BC" w:rsidP="00D769BC">
      <w:pPr>
        <w:jc w:val="both"/>
        <w:rPr>
          <w:rFonts w:ascii="Figtree" w:hAnsi="Figtree"/>
          <w:sz w:val="20"/>
          <w:szCs w:val="20"/>
          <w:lang w:val="en-150"/>
        </w:rPr>
      </w:pPr>
      <w:r w:rsidRPr="00D769BC">
        <w:rPr>
          <w:rFonts w:ascii="Figtree" w:hAnsi="Figtree"/>
          <w:sz w:val="20"/>
          <w:szCs w:val="20"/>
          <w:lang w:val="en-150"/>
        </w:rPr>
        <w:t>VIALET shall thoroughly investigate the circumstances of a disputed payment transaction to assess both its authorization and the customer's conduct. This is especially crucial if the transaction is considered unauthorized due to potential customer intent (bad faith) or gross negligence.</w:t>
      </w:r>
    </w:p>
    <w:p w14:paraId="75AE2AF9" w14:textId="77777777" w:rsidR="00D769BC" w:rsidRDefault="00D769BC" w:rsidP="009672B0">
      <w:pPr>
        <w:jc w:val="both"/>
        <w:rPr>
          <w:rFonts w:ascii="Figtree" w:hAnsi="Figtree"/>
          <w:sz w:val="20"/>
          <w:szCs w:val="20"/>
        </w:rPr>
      </w:pPr>
      <w:r w:rsidRPr="00D769BC">
        <w:rPr>
          <w:rFonts w:ascii="Figtree" w:hAnsi="Figtree"/>
          <w:sz w:val="20"/>
          <w:szCs w:val="20"/>
        </w:rPr>
        <w:t>If a disputed payment transaction is deemed authorized, compensation for damages can be pursued according to general civil liability principles.</w:t>
      </w:r>
    </w:p>
    <w:p w14:paraId="63DDC460" w14:textId="77777777" w:rsidR="00D769BC" w:rsidRDefault="00D769BC" w:rsidP="009672B0">
      <w:pPr>
        <w:tabs>
          <w:tab w:val="left" w:pos="900"/>
        </w:tabs>
        <w:jc w:val="both"/>
        <w:rPr>
          <w:rFonts w:ascii="Figtree" w:hAnsi="Figtree"/>
          <w:sz w:val="20"/>
          <w:szCs w:val="20"/>
        </w:rPr>
      </w:pPr>
      <w:r w:rsidRPr="00D769BC">
        <w:rPr>
          <w:rFonts w:ascii="Figtree" w:hAnsi="Figtree"/>
          <w:sz w:val="20"/>
          <w:szCs w:val="20"/>
        </w:rPr>
        <w:t>Upon discovering or declaring a payment transaction as unauthorized, reimbursement to the customer should follow the procedure and time limits specified in Article 38 of the Payments Law.</w:t>
      </w:r>
    </w:p>
    <w:p w14:paraId="3362F32C" w14:textId="77777777" w:rsidR="00D769BC" w:rsidRDefault="00D769BC" w:rsidP="009672B0">
      <w:pPr>
        <w:tabs>
          <w:tab w:val="left" w:pos="990"/>
        </w:tabs>
        <w:jc w:val="both"/>
        <w:rPr>
          <w:rFonts w:ascii="Figtree" w:hAnsi="Figtree"/>
          <w:sz w:val="20"/>
          <w:szCs w:val="20"/>
        </w:rPr>
      </w:pPr>
      <w:r w:rsidRPr="00D769BC">
        <w:rPr>
          <w:rFonts w:ascii="Figtree" w:hAnsi="Figtree"/>
          <w:sz w:val="20"/>
          <w:szCs w:val="20"/>
        </w:rPr>
        <w:t>VIALET’s liability for unauthorized payment transactions is limited to cases specified by law. The Company can be fully exempt from reimbursing the customer only if it provides evidence of the customer’s dishonesty, intent, or gross negligence.</w:t>
      </w:r>
    </w:p>
    <w:p w14:paraId="3989D93E" w14:textId="13D77298" w:rsidR="00D769BC" w:rsidRDefault="00D769BC" w:rsidP="009672B0">
      <w:pPr>
        <w:tabs>
          <w:tab w:val="left" w:pos="900"/>
        </w:tabs>
        <w:jc w:val="both"/>
        <w:rPr>
          <w:rFonts w:ascii="Figtree" w:hAnsi="Figtree"/>
          <w:sz w:val="20"/>
          <w:szCs w:val="20"/>
        </w:rPr>
      </w:pPr>
      <w:r w:rsidRPr="00D769BC">
        <w:rPr>
          <w:rFonts w:ascii="Figtree" w:hAnsi="Figtree"/>
          <w:sz w:val="20"/>
          <w:szCs w:val="20"/>
        </w:rPr>
        <w:t xml:space="preserve">Gross negligence, intent, or dishonesty are evaluative factors. When determining if the customer's conduct was grossly negligent (or dishonest, which is treated as intent) and led to an unauthorized transaction or loss of a payment </w:t>
      </w:r>
      <w:r>
        <w:rPr>
          <w:rFonts w:ascii="Figtree" w:hAnsi="Figtree"/>
          <w:sz w:val="20"/>
          <w:szCs w:val="20"/>
        </w:rPr>
        <w:t>device</w:t>
      </w:r>
      <w:r w:rsidRPr="00D769BC">
        <w:rPr>
          <w:rFonts w:ascii="Figtree" w:hAnsi="Figtree"/>
          <w:sz w:val="20"/>
          <w:szCs w:val="20"/>
        </w:rPr>
        <w:t>, VIALET evaluates the specific circumstances based on evidence that is supported and not contested by the parties involved.</w:t>
      </w:r>
    </w:p>
    <w:p w14:paraId="745531B8" w14:textId="77777777" w:rsidR="00D769BC" w:rsidRPr="00D769BC" w:rsidRDefault="00D769BC" w:rsidP="00D769BC">
      <w:pPr>
        <w:pBdr>
          <w:top w:val="nil"/>
          <w:left w:val="nil"/>
          <w:bottom w:val="nil"/>
          <w:right w:val="nil"/>
          <w:between w:val="nil"/>
        </w:pBdr>
        <w:tabs>
          <w:tab w:val="left" w:pos="1530"/>
        </w:tabs>
        <w:spacing w:before="120" w:after="120" w:line="240" w:lineRule="auto"/>
        <w:jc w:val="both"/>
        <w:rPr>
          <w:rFonts w:ascii="Figtree" w:eastAsiaTheme="minorHAnsi" w:hAnsi="Figtree" w:cs="TTCommons-Regular"/>
          <w:color w:val="000000"/>
          <w:kern w:val="2"/>
          <w:sz w:val="20"/>
          <w:szCs w:val="20"/>
          <w:lang w:eastAsia="en-US"/>
        </w:rPr>
      </w:pPr>
      <w:r w:rsidRPr="00D769BC">
        <w:rPr>
          <w:rFonts w:ascii="Figtree" w:hAnsi="Figtree"/>
          <w:sz w:val="20"/>
          <w:szCs w:val="20"/>
        </w:rPr>
        <w:t>A breach of the duty to protect the confidentiality of payment method security features does not automatically imply gross negligence. Customers are only liable for losses from unauthorized payment transactions if both of the following conditions are met:</w:t>
      </w:r>
    </w:p>
    <w:p w14:paraId="3B32032C" w14:textId="0FCAAC28" w:rsidR="008F1583" w:rsidRPr="009672B0" w:rsidRDefault="00D769BC" w:rsidP="009672B0">
      <w:pPr>
        <w:pStyle w:val="ListParagraph"/>
        <w:numPr>
          <w:ilvl w:val="0"/>
          <w:numId w:val="58"/>
        </w:numPr>
        <w:pBdr>
          <w:top w:val="nil"/>
          <w:left w:val="nil"/>
          <w:bottom w:val="nil"/>
          <w:right w:val="nil"/>
          <w:between w:val="nil"/>
        </w:pBdr>
        <w:tabs>
          <w:tab w:val="left" w:pos="1530"/>
        </w:tabs>
        <w:spacing w:before="120" w:after="120" w:line="240" w:lineRule="auto"/>
        <w:jc w:val="both"/>
        <w:rPr>
          <w:rFonts w:ascii="Figtree" w:hAnsi="Figtree" w:cs="TTCommons-Regular"/>
          <w:color w:val="000000"/>
          <w:sz w:val="20"/>
          <w:szCs w:val="20"/>
        </w:rPr>
      </w:pPr>
      <w:r w:rsidRPr="00D769BC">
        <w:rPr>
          <w:rFonts w:ascii="Figtree" w:hAnsi="Figtree" w:cs="TTCommons-Regular"/>
          <w:color w:val="000000"/>
          <w:sz w:val="20"/>
          <w:szCs w:val="20"/>
        </w:rPr>
        <w:t xml:space="preserve">The customer fails to meet obligations under the Law on Payments regarding the use and security of payment </w:t>
      </w:r>
      <w:r>
        <w:rPr>
          <w:rFonts w:ascii="Figtree" w:hAnsi="Figtree" w:cs="TTCommons-Regular"/>
          <w:color w:val="000000"/>
          <w:sz w:val="20"/>
          <w:szCs w:val="20"/>
        </w:rPr>
        <w:t>devices</w:t>
      </w:r>
      <w:r w:rsidRPr="00D769BC">
        <w:rPr>
          <w:rFonts w:ascii="Figtree" w:hAnsi="Figtree" w:cs="TTCommons-Regular"/>
          <w:color w:val="000000"/>
          <w:sz w:val="20"/>
          <w:szCs w:val="20"/>
        </w:rPr>
        <w:t>.</w:t>
      </w:r>
    </w:p>
    <w:p w14:paraId="31CDB35D" w14:textId="33CAA676" w:rsidR="00F75F2B" w:rsidRPr="009672B0" w:rsidRDefault="00D769BC" w:rsidP="009672B0">
      <w:pPr>
        <w:pStyle w:val="ListParagraph"/>
        <w:numPr>
          <w:ilvl w:val="0"/>
          <w:numId w:val="58"/>
        </w:numPr>
        <w:pBdr>
          <w:top w:val="nil"/>
          <w:left w:val="nil"/>
          <w:bottom w:val="nil"/>
          <w:right w:val="nil"/>
          <w:between w:val="nil"/>
        </w:pBdr>
        <w:tabs>
          <w:tab w:val="left" w:pos="1530"/>
        </w:tabs>
        <w:spacing w:before="120" w:after="120" w:line="240" w:lineRule="auto"/>
        <w:jc w:val="both"/>
        <w:rPr>
          <w:rFonts w:ascii="Figtree" w:hAnsi="Figtree" w:cs="TTCommons-Regular"/>
          <w:color w:val="000000"/>
          <w:sz w:val="20"/>
          <w:szCs w:val="20"/>
        </w:rPr>
      </w:pPr>
      <w:r w:rsidRPr="00D769BC">
        <w:rPr>
          <w:rFonts w:ascii="Figtree" w:hAnsi="Figtree" w:cs="TTCommons-Regular"/>
          <w:color w:val="000000"/>
          <w:sz w:val="20"/>
          <w:szCs w:val="20"/>
        </w:rPr>
        <w:t>The customer's actions are either intentionally dishonest or involve gross negligence</w:t>
      </w:r>
    </w:p>
    <w:p w14:paraId="5B3BF758" w14:textId="77777777" w:rsidR="00D769BC" w:rsidRDefault="00D769BC" w:rsidP="009672B0">
      <w:pPr>
        <w:tabs>
          <w:tab w:val="left" w:pos="990"/>
        </w:tabs>
        <w:jc w:val="both"/>
        <w:rPr>
          <w:rFonts w:ascii="Figtree" w:hAnsi="Figtree"/>
          <w:sz w:val="20"/>
          <w:szCs w:val="20"/>
        </w:rPr>
      </w:pPr>
      <w:r w:rsidRPr="00D769BC">
        <w:rPr>
          <w:rFonts w:ascii="Figtree" w:hAnsi="Figtree"/>
          <w:sz w:val="20"/>
          <w:szCs w:val="20"/>
        </w:rPr>
        <w:t>The customer must cooperate with VIALET by providing all relevant information and requested data to aid in the investigation of disputed payment transactions and ensure an accurate decision on authorization and reimbursement. If the customer fails to cooperate, such as by withholding information or providing false data, VIALET will make its decision based on the available information.</w:t>
      </w:r>
    </w:p>
    <w:p w14:paraId="04B21E81" w14:textId="4048FFCC" w:rsidR="00D769BC" w:rsidRDefault="00D769BC" w:rsidP="009672B0">
      <w:pPr>
        <w:tabs>
          <w:tab w:val="left" w:pos="1080"/>
        </w:tabs>
        <w:jc w:val="both"/>
        <w:rPr>
          <w:rFonts w:ascii="Figtree" w:hAnsi="Figtree"/>
          <w:sz w:val="20"/>
          <w:szCs w:val="20"/>
        </w:rPr>
      </w:pPr>
      <w:r w:rsidRPr="00D769BC">
        <w:rPr>
          <w:rFonts w:ascii="Figtree" w:hAnsi="Figtree"/>
          <w:sz w:val="20"/>
          <w:szCs w:val="20"/>
        </w:rPr>
        <w:t>VIALET’s decisions to deny compensation for losses due to fraud must be evidence-based, well-reasoned, and take into account all circumstances of the case, including the authorization of the transaction and the customer’s behavio</w:t>
      </w:r>
      <w:r>
        <w:rPr>
          <w:rFonts w:ascii="Figtree" w:hAnsi="Figtree"/>
          <w:sz w:val="20"/>
          <w:szCs w:val="20"/>
        </w:rPr>
        <w:t>u</w:t>
      </w:r>
      <w:r w:rsidRPr="00D769BC">
        <w:rPr>
          <w:rFonts w:ascii="Figtree" w:hAnsi="Figtree"/>
          <w:sz w:val="20"/>
          <w:szCs w:val="20"/>
        </w:rPr>
        <w:t>r.</w:t>
      </w:r>
    </w:p>
    <w:p w14:paraId="0450815B" w14:textId="650179FF" w:rsidR="008F1583" w:rsidRPr="009672B0" w:rsidRDefault="008F1583" w:rsidP="009672B0">
      <w:pPr>
        <w:tabs>
          <w:tab w:val="left" w:pos="1080"/>
        </w:tabs>
        <w:jc w:val="both"/>
        <w:rPr>
          <w:rFonts w:ascii="Figtree" w:hAnsi="Figtree"/>
          <w:sz w:val="20"/>
          <w:szCs w:val="20"/>
        </w:rPr>
      </w:pPr>
      <w:r w:rsidRPr="009672B0">
        <w:rPr>
          <w:rFonts w:ascii="Figtree" w:hAnsi="Figtree"/>
          <w:sz w:val="20"/>
          <w:szCs w:val="20"/>
        </w:rPr>
        <w:t>When VIALET refuses to reimburse a disputed payment, Customer Support must inform the customer in writing with reasons and supporting evidence, including details on challenging the decision.</w:t>
      </w:r>
    </w:p>
    <w:p w14:paraId="000001E5" w14:textId="77777777" w:rsidR="000909A6" w:rsidRPr="009672B0" w:rsidRDefault="00000000" w:rsidP="00D769BC">
      <w:pPr>
        <w:pStyle w:val="Heading1"/>
        <w:spacing w:before="240" w:after="240" w:line="240" w:lineRule="auto"/>
        <w:ind w:left="357"/>
        <w:jc w:val="both"/>
        <w:rPr>
          <w:rFonts w:ascii="Clash Display Medium" w:hAnsi="Clash Display Medium"/>
          <w:szCs w:val="24"/>
        </w:rPr>
      </w:pPr>
      <w:bookmarkStart w:id="7" w:name="_Toc173336807"/>
      <w:r w:rsidRPr="009672B0">
        <w:rPr>
          <w:rFonts w:ascii="Clash Display Medium" w:hAnsi="Clash Display Medium"/>
          <w:szCs w:val="24"/>
        </w:rPr>
        <w:lastRenderedPageBreak/>
        <w:t>Final Provisions</w:t>
      </w:r>
      <w:bookmarkEnd w:id="7"/>
    </w:p>
    <w:p w14:paraId="44074CD8" w14:textId="77777777" w:rsidR="009672B0" w:rsidRPr="009672B0" w:rsidRDefault="009672B0" w:rsidP="00D769BC">
      <w:pPr>
        <w:pBdr>
          <w:top w:val="nil"/>
          <w:left w:val="nil"/>
          <w:bottom w:val="nil"/>
          <w:right w:val="nil"/>
          <w:between w:val="nil"/>
        </w:pBdr>
        <w:spacing w:before="120" w:after="120" w:line="276" w:lineRule="auto"/>
        <w:jc w:val="both"/>
        <w:rPr>
          <w:rFonts w:ascii="Figtree" w:hAnsi="Figtree" w:cs="TTCommons-Regular"/>
          <w:color w:val="000000"/>
          <w:sz w:val="20"/>
          <w:szCs w:val="20"/>
          <w:lang w:val="en-150"/>
        </w:rPr>
      </w:pPr>
      <w:r w:rsidRPr="009672B0">
        <w:rPr>
          <w:rFonts w:ascii="Figtree" w:hAnsi="Figtree" w:cs="TTCommons-Regular"/>
          <w:color w:val="000000"/>
          <w:sz w:val="20"/>
          <w:szCs w:val="20"/>
          <w:lang w:val="en-150"/>
        </w:rPr>
        <w:t>The Statement is reviewed at least once a year or immediately after changes in relevant laws or significant circumstances. Necessary updates are made accordingly.</w:t>
      </w:r>
    </w:p>
    <w:p w14:paraId="671BD73A" w14:textId="77777777" w:rsidR="009672B0" w:rsidRPr="009672B0" w:rsidRDefault="009672B0" w:rsidP="00D769BC">
      <w:pPr>
        <w:pBdr>
          <w:top w:val="nil"/>
          <w:left w:val="nil"/>
          <w:bottom w:val="nil"/>
          <w:right w:val="nil"/>
          <w:between w:val="nil"/>
        </w:pBdr>
        <w:spacing w:before="120" w:after="120" w:line="276" w:lineRule="auto"/>
        <w:jc w:val="both"/>
        <w:rPr>
          <w:rFonts w:ascii="Figtree" w:hAnsi="Figtree" w:cs="TTCommons-Regular"/>
          <w:color w:val="000000"/>
          <w:sz w:val="20"/>
          <w:szCs w:val="20"/>
          <w:lang w:val="en-150"/>
        </w:rPr>
      </w:pPr>
      <w:r w:rsidRPr="009672B0">
        <w:rPr>
          <w:rFonts w:ascii="Figtree" w:hAnsi="Figtree" w:cs="TTCommons-Regular"/>
          <w:color w:val="000000"/>
          <w:sz w:val="20"/>
          <w:szCs w:val="20"/>
          <w:lang w:val="en-150"/>
        </w:rPr>
        <w:t>To help VIALET uphold top standards in fraud prevention, customers are encouraged to report any suspicious activities. Reports are investigated promptly and confidentially.</w:t>
      </w:r>
    </w:p>
    <w:p w14:paraId="321CC754" w14:textId="77777777" w:rsidR="009672B0" w:rsidRPr="009672B0" w:rsidRDefault="009672B0" w:rsidP="00D769BC">
      <w:pPr>
        <w:pBdr>
          <w:top w:val="nil"/>
          <w:left w:val="nil"/>
          <w:bottom w:val="nil"/>
          <w:right w:val="nil"/>
          <w:between w:val="nil"/>
        </w:pBdr>
        <w:spacing w:before="120" w:after="120" w:line="276" w:lineRule="auto"/>
        <w:jc w:val="both"/>
        <w:rPr>
          <w:rFonts w:ascii="Figtree" w:hAnsi="Figtree" w:cs="TTCommons-Regular"/>
          <w:color w:val="000000"/>
          <w:sz w:val="20"/>
          <w:szCs w:val="20"/>
          <w:lang w:val="en-150"/>
        </w:rPr>
      </w:pPr>
      <w:r w:rsidRPr="009672B0">
        <w:rPr>
          <w:rFonts w:ascii="Figtree" w:hAnsi="Figtree" w:cs="TTCommons-Regular"/>
          <w:color w:val="000000"/>
          <w:sz w:val="20"/>
          <w:szCs w:val="20"/>
          <w:lang w:val="en-150"/>
        </w:rPr>
        <w:t>VIALET continuously monitors and improves its fraud prevention measures. If customers have questions or concerns about this Statement, they should contact VIALET’s Customer Support team at support@vialet.eu.</w:t>
      </w:r>
    </w:p>
    <w:p w14:paraId="2A0168ED" w14:textId="77777777" w:rsidR="00101FF6" w:rsidRPr="009672B0" w:rsidRDefault="00101FF6" w:rsidP="00D07386">
      <w:pPr>
        <w:pBdr>
          <w:top w:val="nil"/>
          <w:left w:val="nil"/>
          <w:bottom w:val="nil"/>
          <w:right w:val="nil"/>
          <w:between w:val="nil"/>
        </w:pBdr>
        <w:spacing w:after="0"/>
        <w:jc w:val="both"/>
        <w:rPr>
          <w:rFonts w:cs="TTCommons-Regular"/>
          <w:color w:val="000000"/>
          <w:sz w:val="20"/>
          <w:szCs w:val="20"/>
          <w:lang w:val="en-150"/>
        </w:rPr>
      </w:pPr>
    </w:p>
    <w:p w14:paraId="66007235" w14:textId="77777777" w:rsidR="000B27DA" w:rsidRDefault="000B27DA" w:rsidP="00D07386">
      <w:pPr>
        <w:pBdr>
          <w:top w:val="nil"/>
          <w:left w:val="nil"/>
          <w:bottom w:val="nil"/>
          <w:right w:val="nil"/>
          <w:between w:val="nil"/>
        </w:pBdr>
        <w:tabs>
          <w:tab w:val="center" w:pos="4513"/>
          <w:tab w:val="right" w:pos="9026"/>
        </w:tabs>
        <w:rPr>
          <w:rFonts w:cs="TTCommons-Regular"/>
          <w:color w:val="000000"/>
          <w:sz w:val="12"/>
          <w:szCs w:val="12"/>
        </w:rPr>
      </w:pPr>
    </w:p>
    <w:sectPr w:rsidR="000B27DA" w:rsidSect="00E73ED6">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FABB9" w14:textId="77777777" w:rsidR="00172506" w:rsidRDefault="00172506">
      <w:pPr>
        <w:spacing w:after="0" w:line="240" w:lineRule="auto"/>
      </w:pPr>
      <w:r>
        <w:separator/>
      </w:r>
    </w:p>
  </w:endnote>
  <w:endnote w:type="continuationSeparator" w:id="0">
    <w:p w14:paraId="5AE52A1A" w14:textId="77777777" w:rsidR="00172506" w:rsidRDefault="0017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TCommons-Regular">
    <w:altName w:val="Calibri"/>
    <w:charset w:val="00"/>
    <w:family w:val="auto"/>
    <w:pitch w:val="default"/>
  </w:font>
  <w:font w:name="Aptos">
    <w:charset w:val="00"/>
    <w:family w:val="swiss"/>
    <w:pitch w:val="variable"/>
    <w:sig w:usb0="20000287" w:usb1="00000003" w:usb2="00000000" w:usb3="00000000" w:csb0="0000019F" w:csb1="00000000"/>
    <w:embedRegular r:id="rId1" w:fontKey="{475C9BEA-E7BF-4F98-9D29-AEAF8EADB78E}"/>
    <w:embedBold r:id="rId2" w:fontKey="{711E0E88-15A9-444C-A719-378833F9BC4A}"/>
    <w:embedItalic r:id="rId3" w:fontKey="{A0EFCC24-29E0-4990-B1B4-7FB21A7B56BD}"/>
  </w:font>
  <w:font w:name="Aptos Display">
    <w:charset w:val="00"/>
    <w:family w:val="swiss"/>
    <w:pitch w:val="variable"/>
    <w:sig w:usb0="20000287" w:usb1="00000003" w:usb2="00000000" w:usb3="00000000" w:csb0="0000019F" w:csb1="00000000"/>
    <w:embedRegular r:id="rId4" w:fontKey="{3903A31A-ECD2-4DEF-A5EF-B3CFE71FC2B7}"/>
  </w:font>
  <w:font w:name="Clash Display Medium">
    <w:panose1 w:val="00000000000000000000"/>
    <w:charset w:val="00"/>
    <w:family w:val="modern"/>
    <w:notTrueType/>
    <w:pitch w:val="variable"/>
    <w:sig w:usb0="80000047" w:usb1="00000000" w:usb2="00000000" w:usb3="00000000" w:csb0="00000093" w:csb1="00000000"/>
  </w:font>
  <w:font w:name="Trivia Grotesk X2">
    <w:altName w:val="Calibri"/>
    <w:panose1 w:val="00000000000000000000"/>
    <w:charset w:val="00"/>
    <w:family w:val="modern"/>
    <w:notTrueType/>
    <w:pitch w:val="variable"/>
    <w:sig w:usb0="A00002AF" w:usb1="1000207A" w:usb2="00000000" w:usb3="00000000" w:csb0="0000009F" w:csb1="00000000"/>
  </w:font>
  <w:font w:name="Figtree">
    <w:panose1 w:val="00000000000000000000"/>
    <w:charset w:val="00"/>
    <w:family w:val="auto"/>
    <w:pitch w:val="variable"/>
    <w:sig w:usb0="A000006F" w:usb1="0000007B" w:usb2="00000000" w:usb3="00000000" w:csb0="00000093" w:csb1="00000000"/>
    <w:embedRegular r:id="rId5" w:fontKey="{A1FF021F-F8B5-4367-B0A7-87FC2D12487B}"/>
    <w:embedBold r:id="rId6" w:fontKey="{C2C1517B-2CAB-432B-A43B-4BE00CDEA3F0}"/>
    <w:embedItalic r:id="rId7" w:fontKey="{97406161-EDEA-4168-89EA-6ECF17777C0A}"/>
  </w:font>
  <w:font w:name="TT Commons">
    <w:altName w:val="Cambria"/>
    <w:charset w:val="00"/>
    <w:family w:val="auto"/>
    <w:pitch w:val="default"/>
  </w:font>
  <w:font w:name="Clash Display Light">
    <w:panose1 w:val="00000000000000000000"/>
    <w:charset w:val="00"/>
    <w:family w:val="modern"/>
    <w:notTrueType/>
    <w:pitch w:val="variable"/>
    <w:sig w:usb0="8000004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70" w14:textId="77777777" w:rsidR="000909A6" w:rsidRDefault="000909A6">
    <w:pPr>
      <w:pBdr>
        <w:top w:val="nil"/>
        <w:left w:val="nil"/>
        <w:bottom w:val="nil"/>
        <w:right w:val="nil"/>
        <w:between w:val="nil"/>
      </w:pBdr>
      <w:tabs>
        <w:tab w:val="center" w:pos="4513"/>
        <w:tab w:val="right" w:pos="9026"/>
      </w:tabs>
      <w:rPr>
        <w:rFonts w:cs="TTCommons-Regular"/>
        <w:color w:val="000000"/>
        <w:sz w:val="12"/>
        <w:szCs w:val="12"/>
      </w:rPr>
    </w:pPr>
  </w:p>
  <w:p w14:paraId="00000371" w14:textId="77777777" w:rsidR="000909A6" w:rsidRDefault="00000000">
    <w:pPr>
      <w:pBdr>
        <w:top w:val="nil"/>
        <w:left w:val="nil"/>
        <w:bottom w:val="nil"/>
        <w:right w:val="nil"/>
        <w:between w:val="nil"/>
      </w:pBdr>
      <w:tabs>
        <w:tab w:val="center" w:pos="4153"/>
        <w:tab w:val="right" w:pos="8306"/>
      </w:tabs>
      <w:spacing w:after="0" w:line="240" w:lineRule="auto"/>
      <w:rPr>
        <w:rFonts w:ascii="TT Commons" w:eastAsia="TT Commons" w:hAnsi="TT Commons" w:cs="TT Commons"/>
        <w:color w:val="000000"/>
        <w:sz w:val="16"/>
        <w:szCs w:val="16"/>
      </w:rPr>
    </w:pPr>
    <w:r>
      <w:rPr>
        <w:rFonts w:ascii="TT Commons" w:eastAsia="TT Commons" w:hAnsi="TT Commons" w:cs="TT Commons"/>
        <w:color w:val="000000"/>
        <w:sz w:val="16"/>
        <w:szCs w:val="16"/>
      </w:rPr>
      <w:t>UAB VIA Payments | Reg. No. 304531663 | Konstitucijos ave. 7, Vilnius, Lithuania</w:t>
    </w:r>
  </w:p>
  <w:p w14:paraId="00000372" w14:textId="77777777" w:rsidR="000909A6" w:rsidRDefault="00000000">
    <w:pPr>
      <w:pBdr>
        <w:top w:val="nil"/>
        <w:left w:val="nil"/>
        <w:bottom w:val="nil"/>
        <w:right w:val="nil"/>
        <w:between w:val="nil"/>
      </w:pBdr>
      <w:tabs>
        <w:tab w:val="center" w:pos="4153"/>
        <w:tab w:val="right" w:pos="9072"/>
      </w:tabs>
      <w:spacing w:after="0" w:line="240" w:lineRule="auto"/>
      <w:rPr>
        <w:rFonts w:ascii="TT Commons" w:eastAsia="TT Commons" w:hAnsi="TT Commons" w:cs="TT Commons"/>
        <w:color w:val="000000"/>
        <w:sz w:val="16"/>
        <w:szCs w:val="16"/>
      </w:rPr>
    </w:pPr>
    <w:r>
      <w:rPr>
        <w:rFonts w:ascii="TT Commons" w:eastAsia="TT Commons" w:hAnsi="TT Commons" w:cs="TT Commons"/>
        <w:color w:val="000000"/>
        <w:sz w:val="16"/>
        <w:szCs w:val="16"/>
      </w:rPr>
      <w:t>EMI License of Lithuanian Central Bank № 16 | SWIFT: VIPULT22</w:t>
    </w:r>
    <w:r>
      <w:rPr>
        <w:rFonts w:ascii="TT Commons" w:eastAsia="TT Commons" w:hAnsi="TT Commons" w:cs="TT Commons"/>
        <w:color w:val="000000"/>
        <w:sz w:val="16"/>
        <w:szCs w:val="16"/>
      </w:rPr>
      <w:tab/>
    </w:r>
  </w:p>
  <w:p w14:paraId="00000373" w14:textId="77777777" w:rsidR="000909A6" w:rsidRDefault="00000000">
    <w:pPr>
      <w:pBdr>
        <w:top w:val="nil"/>
        <w:left w:val="nil"/>
        <w:bottom w:val="nil"/>
        <w:right w:val="nil"/>
        <w:between w:val="nil"/>
      </w:pBdr>
      <w:tabs>
        <w:tab w:val="center" w:pos="4513"/>
        <w:tab w:val="right" w:pos="9026"/>
      </w:tabs>
      <w:spacing w:after="0" w:line="240" w:lineRule="auto"/>
      <w:rPr>
        <w:rFonts w:ascii="TT Commons" w:eastAsia="TT Commons" w:hAnsi="TT Commons" w:cs="TT Commons"/>
        <w:color w:val="000000"/>
        <w:sz w:val="16"/>
        <w:szCs w:val="16"/>
      </w:rPr>
    </w:pPr>
    <w:r>
      <w:rPr>
        <w:rFonts w:ascii="TT Commons" w:eastAsia="TT Commons" w:hAnsi="TT Commons" w:cs="TT Commons"/>
        <w:color w:val="000000"/>
        <w:sz w:val="16"/>
        <w:szCs w:val="16"/>
      </w:rPr>
      <w:t xml:space="preserve">vialet.eu | </w:t>
    </w:r>
    <w:hyperlink r:id="rId1">
      <w:r>
        <w:rPr>
          <w:rFonts w:ascii="TT Commons" w:eastAsia="TT Commons" w:hAnsi="TT Commons" w:cs="TT Commons"/>
          <w:color w:val="467886"/>
          <w:sz w:val="16"/>
          <w:szCs w:val="16"/>
          <w:u w:val="single"/>
        </w:rPr>
        <w:t>info@vialet.eu</w:t>
      </w:r>
    </w:hyperlink>
  </w:p>
  <w:p w14:paraId="00000374" w14:textId="38190FF5" w:rsidR="000909A6" w:rsidRDefault="00000000">
    <w:pPr>
      <w:pBdr>
        <w:top w:val="nil"/>
        <w:left w:val="nil"/>
        <w:bottom w:val="nil"/>
        <w:right w:val="nil"/>
        <w:between w:val="nil"/>
      </w:pBdr>
      <w:tabs>
        <w:tab w:val="center" w:pos="4513"/>
        <w:tab w:val="right" w:pos="9026"/>
      </w:tabs>
      <w:jc w:val="right"/>
      <w:rPr>
        <w:rFonts w:cs="TTCommons-Regular"/>
        <w:color w:val="000000"/>
      </w:rPr>
    </w:pPr>
    <w:r>
      <w:rPr>
        <w:rFonts w:cs="TTCommons-Regular"/>
        <w:color w:val="000000"/>
      </w:rPr>
      <w:fldChar w:fldCharType="begin"/>
    </w:r>
    <w:r>
      <w:rPr>
        <w:rFonts w:cs="TTCommons-Regular"/>
        <w:color w:val="000000"/>
      </w:rPr>
      <w:instrText>PAGE</w:instrText>
    </w:r>
    <w:r>
      <w:rPr>
        <w:rFonts w:cs="TTCommons-Regular"/>
        <w:color w:val="000000"/>
      </w:rPr>
      <w:fldChar w:fldCharType="separate"/>
    </w:r>
    <w:r w:rsidR="00B06856">
      <w:rPr>
        <w:rFonts w:cs="TTCommons-Regular"/>
        <w:noProof/>
        <w:color w:val="000000"/>
      </w:rPr>
      <w:t>31</w:t>
    </w:r>
    <w:r>
      <w:rPr>
        <w:rFonts w:cs="TTCommons-Regula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D5A51" w14:textId="77777777" w:rsidR="00172506" w:rsidRDefault="00172506">
      <w:pPr>
        <w:spacing w:after="0" w:line="240" w:lineRule="auto"/>
      </w:pPr>
      <w:r>
        <w:separator/>
      </w:r>
    </w:p>
  </w:footnote>
  <w:footnote w:type="continuationSeparator" w:id="0">
    <w:p w14:paraId="430A7A4E" w14:textId="77777777" w:rsidR="00172506" w:rsidRDefault="00172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41BAA"/>
    <w:multiLevelType w:val="hybridMultilevel"/>
    <w:tmpl w:val="1C94B966"/>
    <w:lvl w:ilvl="0" w:tplc="E1C00296">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0C3745C9"/>
    <w:multiLevelType w:val="multilevel"/>
    <w:tmpl w:val="D6724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2500FE"/>
    <w:multiLevelType w:val="hybridMultilevel"/>
    <w:tmpl w:val="EDBCEF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DBE5D7C"/>
    <w:multiLevelType w:val="multilevel"/>
    <w:tmpl w:val="749CF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4C35E7"/>
    <w:multiLevelType w:val="multilevel"/>
    <w:tmpl w:val="6C6E51E4"/>
    <w:lvl w:ilvl="0">
      <w:start w:val="1"/>
      <w:numFmt w:val="decimal"/>
      <w:lvlText w:val="%1."/>
      <w:lvlJc w:val="left"/>
      <w:pPr>
        <w:ind w:left="360" w:hanging="360"/>
      </w:pPr>
      <w:rPr>
        <w:rFonts w:ascii="TTCommons-Regular" w:hAnsi="TTCommons-Regular" w:hint="default"/>
      </w:rPr>
    </w:lvl>
    <w:lvl w:ilvl="1">
      <w:start w:val="1"/>
      <w:numFmt w:val="decimal"/>
      <w:lvlText w:val="%1.%2."/>
      <w:lvlJc w:val="left"/>
      <w:pPr>
        <w:ind w:left="792" w:hanging="432"/>
      </w:pPr>
      <w:rPr>
        <w:b w:val="0"/>
        <w:color w:val="auto"/>
        <w:sz w:val="20"/>
        <w:szCs w:val="20"/>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964733"/>
    <w:multiLevelType w:val="multilevel"/>
    <w:tmpl w:val="54F83A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7364B6"/>
    <w:multiLevelType w:val="multilevel"/>
    <w:tmpl w:val="BA2E0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943D57"/>
    <w:multiLevelType w:val="hybridMultilevel"/>
    <w:tmpl w:val="D1BCD482"/>
    <w:lvl w:ilvl="0" w:tplc="E1C0029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8D019F3"/>
    <w:multiLevelType w:val="multilevel"/>
    <w:tmpl w:val="4A700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A45C8F"/>
    <w:multiLevelType w:val="hybridMultilevel"/>
    <w:tmpl w:val="3AE2446E"/>
    <w:lvl w:ilvl="0" w:tplc="E1C0029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1224068"/>
    <w:multiLevelType w:val="multilevel"/>
    <w:tmpl w:val="254AF4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73002F"/>
    <w:multiLevelType w:val="hybridMultilevel"/>
    <w:tmpl w:val="22E2941A"/>
    <w:lvl w:ilvl="0" w:tplc="E1C0029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4BB4E58"/>
    <w:multiLevelType w:val="multilevel"/>
    <w:tmpl w:val="8A020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6E42F08"/>
    <w:multiLevelType w:val="multilevel"/>
    <w:tmpl w:val="188ADBAA"/>
    <w:lvl w:ilvl="0">
      <w:start w:val="1"/>
      <w:numFmt w:val="bullet"/>
      <w:lvlText w:val="●"/>
      <w:lvlJc w:val="left"/>
      <w:pPr>
        <w:ind w:left="2075" w:hanging="360"/>
      </w:pPr>
      <w:rPr>
        <w:rFonts w:ascii="Noto Sans Symbols" w:eastAsia="Noto Sans Symbols" w:hAnsi="Noto Sans Symbols" w:cs="Noto Sans Symbols"/>
      </w:rPr>
    </w:lvl>
    <w:lvl w:ilvl="1">
      <w:start w:val="1"/>
      <w:numFmt w:val="bullet"/>
      <w:lvlText w:val="o"/>
      <w:lvlJc w:val="left"/>
      <w:pPr>
        <w:ind w:left="2795" w:hanging="360"/>
      </w:pPr>
      <w:rPr>
        <w:rFonts w:ascii="Courier New" w:eastAsia="Courier New" w:hAnsi="Courier New" w:cs="Courier New"/>
      </w:rPr>
    </w:lvl>
    <w:lvl w:ilvl="2">
      <w:start w:val="1"/>
      <w:numFmt w:val="bullet"/>
      <w:lvlText w:val="▪"/>
      <w:lvlJc w:val="left"/>
      <w:pPr>
        <w:ind w:left="3515" w:hanging="360"/>
      </w:pPr>
      <w:rPr>
        <w:rFonts w:ascii="Noto Sans Symbols" w:eastAsia="Noto Sans Symbols" w:hAnsi="Noto Sans Symbols" w:cs="Noto Sans Symbols"/>
      </w:rPr>
    </w:lvl>
    <w:lvl w:ilvl="3">
      <w:start w:val="1"/>
      <w:numFmt w:val="bullet"/>
      <w:lvlText w:val="●"/>
      <w:lvlJc w:val="left"/>
      <w:pPr>
        <w:ind w:left="4235" w:hanging="360"/>
      </w:pPr>
      <w:rPr>
        <w:rFonts w:ascii="Noto Sans Symbols" w:eastAsia="Noto Sans Symbols" w:hAnsi="Noto Sans Symbols" w:cs="Noto Sans Symbols"/>
      </w:rPr>
    </w:lvl>
    <w:lvl w:ilvl="4">
      <w:start w:val="1"/>
      <w:numFmt w:val="bullet"/>
      <w:lvlText w:val="o"/>
      <w:lvlJc w:val="left"/>
      <w:pPr>
        <w:ind w:left="4955" w:hanging="360"/>
      </w:pPr>
      <w:rPr>
        <w:rFonts w:ascii="Courier New" w:eastAsia="Courier New" w:hAnsi="Courier New" w:cs="Courier New"/>
      </w:rPr>
    </w:lvl>
    <w:lvl w:ilvl="5">
      <w:start w:val="1"/>
      <w:numFmt w:val="bullet"/>
      <w:lvlText w:val="▪"/>
      <w:lvlJc w:val="left"/>
      <w:pPr>
        <w:ind w:left="5675" w:hanging="360"/>
      </w:pPr>
      <w:rPr>
        <w:rFonts w:ascii="Noto Sans Symbols" w:eastAsia="Noto Sans Symbols" w:hAnsi="Noto Sans Symbols" w:cs="Noto Sans Symbols"/>
      </w:rPr>
    </w:lvl>
    <w:lvl w:ilvl="6">
      <w:start w:val="1"/>
      <w:numFmt w:val="bullet"/>
      <w:lvlText w:val="●"/>
      <w:lvlJc w:val="left"/>
      <w:pPr>
        <w:ind w:left="6395" w:hanging="360"/>
      </w:pPr>
      <w:rPr>
        <w:rFonts w:ascii="Noto Sans Symbols" w:eastAsia="Noto Sans Symbols" w:hAnsi="Noto Sans Symbols" w:cs="Noto Sans Symbols"/>
      </w:rPr>
    </w:lvl>
    <w:lvl w:ilvl="7">
      <w:start w:val="1"/>
      <w:numFmt w:val="bullet"/>
      <w:lvlText w:val="o"/>
      <w:lvlJc w:val="left"/>
      <w:pPr>
        <w:ind w:left="7115" w:hanging="360"/>
      </w:pPr>
      <w:rPr>
        <w:rFonts w:ascii="Courier New" w:eastAsia="Courier New" w:hAnsi="Courier New" w:cs="Courier New"/>
      </w:rPr>
    </w:lvl>
    <w:lvl w:ilvl="8">
      <w:start w:val="1"/>
      <w:numFmt w:val="bullet"/>
      <w:lvlText w:val="▪"/>
      <w:lvlJc w:val="left"/>
      <w:pPr>
        <w:ind w:left="7835" w:hanging="360"/>
      </w:pPr>
      <w:rPr>
        <w:rFonts w:ascii="Noto Sans Symbols" w:eastAsia="Noto Sans Symbols" w:hAnsi="Noto Sans Symbols" w:cs="Noto Sans Symbols"/>
      </w:rPr>
    </w:lvl>
  </w:abstractNum>
  <w:abstractNum w:abstractNumId="14" w15:restartNumberingAfterBreak="0">
    <w:nsid w:val="2A2E4E8D"/>
    <w:multiLevelType w:val="multilevel"/>
    <w:tmpl w:val="71CC0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276170"/>
    <w:multiLevelType w:val="hybridMultilevel"/>
    <w:tmpl w:val="D6286A2C"/>
    <w:lvl w:ilvl="0" w:tplc="7C22AA6E">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0D806AE"/>
    <w:multiLevelType w:val="multilevel"/>
    <w:tmpl w:val="EB443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1DF7200"/>
    <w:multiLevelType w:val="multilevel"/>
    <w:tmpl w:val="997A7D42"/>
    <w:lvl w:ilvl="0">
      <w:start w:val="1"/>
      <w:numFmt w:val="bullet"/>
      <w:lvlText w:val="●"/>
      <w:lvlJc w:val="left"/>
      <w:pPr>
        <w:ind w:left="1512" w:hanging="360"/>
      </w:pPr>
      <w:rPr>
        <w:rFonts w:ascii="Noto Sans Symbols" w:eastAsia="Noto Sans Symbols" w:hAnsi="Noto Sans Symbols" w:cs="Noto Sans Symbols"/>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18" w15:restartNumberingAfterBreak="0">
    <w:nsid w:val="3200569E"/>
    <w:multiLevelType w:val="hybridMultilevel"/>
    <w:tmpl w:val="66AC50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23737CA"/>
    <w:multiLevelType w:val="multilevel"/>
    <w:tmpl w:val="E452A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323792C"/>
    <w:multiLevelType w:val="hybridMultilevel"/>
    <w:tmpl w:val="BA7A761A"/>
    <w:lvl w:ilvl="0" w:tplc="E1C0029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402769C"/>
    <w:multiLevelType w:val="multilevel"/>
    <w:tmpl w:val="1F463B76"/>
    <w:lvl w:ilvl="0">
      <w:start w:val="1"/>
      <w:numFmt w:val="bullet"/>
      <w:lvlText w:val="●"/>
      <w:lvlJc w:val="left"/>
      <w:pPr>
        <w:ind w:left="2075" w:hanging="360"/>
      </w:pPr>
      <w:rPr>
        <w:rFonts w:ascii="Noto Sans Symbols" w:eastAsia="Noto Sans Symbols" w:hAnsi="Noto Sans Symbols" w:cs="Noto Sans Symbols"/>
      </w:rPr>
    </w:lvl>
    <w:lvl w:ilvl="1">
      <w:start w:val="1"/>
      <w:numFmt w:val="bullet"/>
      <w:lvlText w:val="o"/>
      <w:lvlJc w:val="left"/>
      <w:pPr>
        <w:ind w:left="2795" w:hanging="360"/>
      </w:pPr>
      <w:rPr>
        <w:rFonts w:ascii="Courier New" w:eastAsia="Courier New" w:hAnsi="Courier New" w:cs="Courier New"/>
      </w:rPr>
    </w:lvl>
    <w:lvl w:ilvl="2">
      <w:start w:val="1"/>
      <w:numFmt w:val="bullet"/>
      <w:lvlText w:val="▪"/>
      <w:lvlJc w:val="left"/>
      <w:pPr>
        <w:ind w:left="3515" w:hanging="360"/>
      </w:pPr>
      <w:rPr>
        <w:rFonts w:ascii="Noto Sans Symbols" w:eastAsia="Noto Sans Symbols" w:hAnsi="Noto Sans Symbols" w:cs="Noto Sans Symbols"/>
      </w:rPr>
    </w:lvl>
    <w:lvl w:ilvl="3">
      <w:start w:val="1"/>
      <w:numFmt w:val="bullet"/>
      <w:lvlText w:val="●"/>
      <w:lvlJc w:val="left"/>
      <w:pPr>
        <w:ind w:left="4235" w:hanging="360"/>
      </w:pPr>
      <w:rPr>
        <w:rFonts w:ascii="Noto Sans Symbols" w:eastAsia="Noto Sans Symbols" w:hAnsi="Noto Sans Symbols" w:cs="Noto Sans Symbols"/>
      </w:rPr>
    </w:lvl>
    <w:lvl w:ilvl="4">
      <w:start w:val="1"/>
      <w:numFmt w:val="bullet"/>
      <w:lvlText w:val="o"/>
      <w:lvlJc w:val="left"/>
      <w:pPr>
        <w:ind w:left="4955" w:hanging="360"/>
      </w:pPr>
      <w:rPr>
        <w:rFonts w:ascii="Courier New" w:eastAsia="Courier New" w:hAnsi="Courier New" w:cs="Courier New"/>
      </w:rPr>
    </w:lvl>
    <w:lvl w:ilvl="5">
      <w:start w:val="1"/>
      <w:numFmt w:val="bullet"/>
      <w:lvlText w:val="▪"/>
      <w:lvlJc w:val="left"/>
      <w:pPr>
        <w:ind w:left="5675" w:hanging="360"/>
      </w:pPr>
      <w:rPr>
        <w:rFonts w:ascii="Noto Sans Symbols" w:eastAsia="Noto Sans Symbols" w:hAnsi="Noto Sans Symbols" w:cs="Noto Sans Symbols"/>
      </w:rPr>
    </w:lvl>
    <w:lvl w:ilvl="6">
      <w:start w:val="1"/>
      <w:numFmt w:val="bullet"/>
      <w:lvlText w:val="●"/>
      <w:lvlJc w:val="left"/>
      <w:pPr>
        <w:ind w:left="6395" w:hanging="360"/>
      </w:pPr>
      <w:rPr>
        <w:rFonts w:ascii="Noto Sans Symbols" w:eastAsia="Noto Sans Symbols" w:hAnsi="Noto Sans Symbols" w:cs="Noto Sans Symbols"/>
      </w:rPr>
    </w:lvl>
    <w:lvl w:ilvl="7">
      <w:start w:val="1"/>
      <w:numFmt w:val="bullet"/>
      <w:lvlText w:val="o"/>
      <w:lvlJc w:val="left"/>
      <w:pPr>
        <w:ind w:left="7115" w:hanging="360"/>
      </w:pPr>
      <w:rPr>
        <w:rFonts w:ascii="Courier New" w:eastAsia="Courier New" w:hAnsi="Courier New" w:cs="Courier New"/>
      </w:rPr>
    </w:lvl>
    <w:lvl w:ilvl="8">
      <w:start w:val="1"/>
      <w:numFmt w:val="bullet"/>
      <w:lvlText w:val="▪"/>
      <w:lvlJc w:val="left"/>
      <w:pPr>
        <w:ind w:left="7835" w:hanging="360"/>
      </w:pPr>
      <w:rPr>
        <w:rFonts w:ascii="Noto Sans Symbols" w:eastAsia="Noto Sans Symbols" w:hAnsi="Noto Sans Symbols" w:cs="Noto Sans Symbols"/>
      </w:rPr>
    </w:lvl>
  </w:abstractNum>
  <w:abstractNum w:abstractNumId="22" w15:restartNumberingAfterBreak="0">
    <w:nsid w:val="3512267F"/>
    <w:multiLevelType w:val="multilevel"/>
    <w:tmpl w:val="168C79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A0E6FF7"/>
    <w:multiLevelType w:val="hybridMultilevel"/>
    <w:tmpl w:val="6D82B7C8"/>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3AFA57FC"/>
    <w:multiLevelType w:val="hybridMultilevel"/>
    <w:tmpl w:val="337EE4E8"/>
    <w:lvl w:ilvl="0" w:tplc="E1C00296">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5" w15:restartNumberingAfterBreak="0">
    <w:nsid w:val="3D6C1D24"/>
    <w:multiLevelType w:val="multilevel"/>
    <w:tmpl w:val="F9061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DD432C0"/>
    <w:multiLevelType w:val="multilevel"/>
    <w:tmpl w:val="2716D3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07A389C"/>
    <w:multiLevelType w:val="hybridMultilevel"/>
    <w:tmpl w:val="F7A4F3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1A63D9F"/>
    <w:multiLevelType w:val="multilevel"/>
    <w:tmpl w:val="63F4E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36535AE"/>
    <w:multiLevelType w:val="hybridMultilevel"/>
    <w:tmpl w:val="3BC094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461F4F15"/>
    <w:multiLevelType w:val="hybridMultilevel"/>
    <w:tmpl w:val="0C58046E"/>
    <w:lvl w:ilvl="0" w:tplc="E1C00296">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6F72948"/>
    <w:multiLevelType w:val="multilevel"/>
    <w:tmpl w:val="F61AF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A322B90"/>
    <w:multiLevelType w:val="multilevel"/>
    <w:tmpl w:val="EB523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C406F95"/>
    <w:multiLevelType w:val="hybridMultilevel"/>
    <w:tmpl w:val="7BA839DA"/>
    <w:lvl w:ilvl="0" w:tplc="E1C002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C9A7079"/>
    <w:multiLevelType w:val="multilevel"/>
    <w:tmpl w:val="4CCA30F2"/>
    <w:lvl w:ilvl="0">
      <w:start w:val="1"/>
      <w:numFmt w:val="bullet"/>
      <w:lvlText w:val="●"/>
      <w:lvlJc w:val="left"/>
      <w:pPr>
        <w:ind w:left="2075" w:hanging="360"/>
      </w:pPr>
      <w:rPr>
        <w:rFonts w:ascii="Noto Sans Symbols" w:eastAsia="Noto Sans Symbols" w:hAnsi="Noto Sans Symbols" w:cs="Noto Sans Symbols"/>
      </w:rPr>
    </w:lvl>
    <w:lvl w:ilvl="1">
      <w:start w:val="1"/>
      <w:numFmt w:val="bullet"/>
      <w:lvlText w:val="o"/>
      <w:lvlJc w:val="left"/>
      <w:pPr>
        <w:ind w:left="2795" w:hanging="360"/>
      </w:pPr>
      <w:rPr>
        <w:rFonts w:ascii="Courier New" w:eastAsia="Courier New" w:hAnsi="Courier New" w:cs="Courier New"/>
      </w:rPr>
    </w:lvl>
    <w:lvl w:ilvl="2">
      <w:start w:val="1"/>
      <w:numFmt w:val="bullet"/>
      <w:lvlText w:val="▪"/>
      <w:lvlJc w:val="left"/>
      <w:pPr>
        <w:ind w:left="3515" w:hanging="360"/>
      </w:pPr>
      <w:rPr>
        <w:rFonts w:ascii="Noto Sans Symbols" w:eastAsia="Noto Sans Symbols" w:hAnsi="Noto Sans Symbols" w:cs="Noto Sans Symbols"/>
      </w:rPr>
    </w:lvl>
    <w:lvl w:ilvl="3">
      <w:start w:val="1"/>
      <w:numFmt w:val="bullet"/>
      <w:lvlText w:val="●"/>
      <w:lvlJc w:val="left"/>
      <w:pPr>
        <w:ind w:left="4235" w:hanging="360"/>
      </w:pPr>
      <w:rPr>
        <w:rFonts w:ascii="Noto Sans Symbols" w:eastAsia="Noto Sans Symbols" w:hAnsi="Noto Sans Symbols" w:cs="Noto Sans Symbols"/>
      </w:rPr>
    </w:lvl>
    <w:lvl w:ilvl="4">
      <w:start w:val="1"/>
      <w:numFmt w:val="bullet"/>
      <w:lvlText w:val="o"/>
      <w:lvlJc w:val="left"/>
      <w:pPr>
        <w:ind w:left="4955" w:hanging="360"/>
      </w:pPr>
      <w:rPr>
        <w:rFonts w:ascii="Courier New" w:eastAsia="Courier New" w:hAnsi="Courier New" w:cs="Courier New"/>
      </w:rPr>
    </w:lvl>
    <w:lvl w:ilvl="5">
      <w:start w:val="1"/>
      <w:numFmt w:val="bullet"/>
      <w:lvlText w:val="▪"/>
      <w:lvlJc w:val="left"/>
      <w:pPr>
        <w:ind w:left="5675" w:hanging="360"/>
      </w:pPr>
      <w:rPr>
        <w:rFonts w:ascii="Noto Sans Symbols" w:eastAsia="Noto Sans Symbols" w:hAnsi="Noto Sans Symbols" w:cs="Noto Sans Symbols"/>
      </w:rPr>
    </w:lvl>
    <w:lvl w:ilvl="6">
      <w:start w:val="1"/>
      <w:numFmt w:val="bullet"/>
      <w:lvlText w:val="●"/>
      <w:lvlJc w:val="left"/>
      <w:pPr>
        <w:ind w:left="6395" w:hanging="360"/>
      </w:pPr>
      <w:rPr>
        <w:rFonts w:ascii="Noto Sans Symbols" w:eastAsia="Noto Sans Symbols" w:hAnsi="Noto Sans Symbols" w:cs="Noto Sans Symbols"/>
      </w:rPr>
    </w:lvl>
    <w:lvl w:ilvl="7">
      <w:start w:val="1"/>
      <w:numFmt w:val="bullet"/>
      <w:lvlText w:val="o"/>
      <w:lvlJc w:val="left"/>
      <w:pPr>
        <w:ind w:left="7115" w:hanging="360"/>
      </w:pPr>
      <w:rPr>
        <w:rFonts w:ascii="Courier New" w:eastAsia="Courier New" w:hAnsi="Courier New" w:cs="Courier New"/>
      </w:rPr>
    </w:lvl>
    <w:lvl w:ilvl="8">
      <w:start w:val="1"/>
      <w:numFmt w:val="bullet"/>
      <w:lvlText w:val="▪"/>
      <w:lvlJc w:val="left"/>
      <w:pPr>
        <w:ind w:left="7835" w:hanging="360"/>
      </w:pPr>
      <w:rPr>
        <w:rFonts w:ascii="Noto Sans Symbols" w:eastAsia="Noto Sans Symbols" w:hAnsi="Noto Sans Symbols" w:cs="Noto Sans Symbols"/>
      </w:rPr>
    </w:lvl>
  </w:abstractNum>
  <w:abstractNum w:abstractNumId="35" w15:restartNumberingAfterBreak="0">
    <w:nsid w:val="4DAE4C1D"/>
    <w:multiLevelType w:val="multilevel"/>
    <w:tmpl w:val="B27818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E500872"/>
    <w:multiLevelType w:val="hybridMultilevel"/>
    <w:tmpl w:val="5ED205F4"/>
    <w:lvl w:ilvl="0" w:tplc="E1C0029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E932408"/>
    <w:multiLevelType w:val="hybridMultilevel"/>
    <w:tmpl w:val="1EC600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500E6C79"/>
    <w:multiLevelType w:val="hybridMultilevel"/>
    <w:tmpl w:val="3CC82534"/>
    <w:lvl w:ilvl="0" w:tplc="E1C00296">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9" w15:restartNumberingAfterBreak="0">
    <w:nsid w:val="51C65754"/>
    <w:multiLevelType w:val="hybridMultilevel"/>
    <w:tmpl w:val="CB307E12"/>
    <w:lvl w:ilvl="0" w:tplc="E1C002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3D25E5F"/>
    <w:multiLevelType w:val="multilevel"/>
    <w:tmpl w:val="4AFAD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4EC31D1"/>
    <w:multiLevelType w:val="hybridMultilevel"/>
    <w:tmpl w:val="C58AC50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5B701931"/>
    <w:multiLevelType w:val="multilevel"/>
    <w:tmpl w:val="3D040D50"/>
    <w:lvl w:ilvl="0">
      <w:start w:val="1"/>
      <w:numFmt w:val="bullet"/>
      <w:lvlText w:val="●"/>
      <w:lvlJc w:val="left"/>
      <w:pPr>
        <w:ind w:left="2075" w:hanging="360"/>
      </w:pPr>
      <w:rPr>
        <w:rFonts w:ascii="Noto Sans Symbols" w:eastAsia="Noto Sans Symbols" w:hAnsi="Noto Sans Symbols" w:cs="Noto Sans Symbols"/>
      </w:rPr>
    </w:lvl>
    <w:lvl w:ilvl="1">
      <w:start w:val="1"/>
      <w:numFmt w:val="bullet"/>
      <w:lvlText w:val="o"/>
      <w:lvlJc w:val="left"/>
      <w:pPr>
        <w:ind w:left="2795" w:hanging="360"/>
      </w:pPr>
      <w:rPr>
        <w:rFonts w:ascii="Courier New" w:eastAsia="Courier New" w:hAnsi="Courier New" w:cs="Courier New"/>
      </w:rPr>
    </w:lvl>
    <w:lvl w:ilvl="2">
      <w:start w:val="1"/>
      <w:numFmt w:val="bullet"/>
      <w:lvlText w:val="▪"/>
      <w:lvlJc w:val="left"/>
      <w:pPr>
        <w:ind w:left="3515" w:hanging="360"/>
      </w:pPr>
      <w:rPr>
        <w:rFonts w:ascii="Noto Sans Symbols" w:eastAsia="Noto Sans Symbols" w:hAnsi="Noto Sans Symbols" w:cs="Noto Sans Symbols"/>
      </w:rPr>
    </w:lvl>
    <w:lvl w:ilvl="3">
      <w:start w:val="1"/>
      <w:numFmt w:val="bullet"/>
      <w:lvlText w:val="●"/>
      <w:lvlJc w:val="left"/>
      <w:pPr>
        <w:ind w:left="4235" w:hanging="360"/>
      </w:pPr>
      <w:rPr>
        <w:rFonts w:ascii="Noto Sans Symbols" w:eastAsia="Noto Sans Symbols" w:hAnsi="Noto Sans Symbols" w:cs="Noto Sans Symbols"/>
      </w:rPr>
    </w:lvl>
    <w:lvl w:ilvl="4">
      <w:start w:val="1"/>
      <w:numFmt w:val="bullet"/>
      <w:lvlText w:val="o"/>
      <w:lvlJc w:val="left"/>
      <w:pPr>
        <w:ind w:left="4955" w:hanging="360"/>
      </w:pPr>
      <w:rPr>
        <w:rFonts w:ascii="Courier New" w:eastAsia="Courier New" w:hAnsi="Courier New" w:cs="Courier New"/>
      </w:rPr>
    </w:lvl>
    <w:lvl w:ilvl="5">
      <w:start w:val="1"/>
      <w:numFmt w:val="bullet"/>
      <w:lvlText w:val="▪"/>
      <w:lvlJc w:val="left"/>
      <w:pPr>
        <w:ind w:left="5675" w:hanging="360"/>
      </w:pPr>
      <w:rPr>
        <w:rFonts w:ascii="Noto Sans Symbols" w:eastAsia="Noto Sans Symbols" w:hAnsi="Noto Sans Symbols" w:cs="Noto Sans Symbols"/>
      </w:rPr>
    </w:lvl>
    <w:lvl w:ilvl="6">
      <w:start w:val="1"/>
      <w:numFmt w:val="bullet"/>
      <w:lvlText w:val="●"/>
      <w:lvlJc w:val="left"/>
      <w:pPr>
        <w:ind w:left="6395" w:hanging="360"/>
      </w:pPr>
      <w:rPr>
        <w:rFonts w:ascii="Noto Sans Symbols" w:eastAsia="Noto Sans Symbols" w:hAnsi="Noto Sans Symbols" w:cs="Noto Sans Symbols"/>
      </w:rPr>
    </w:lvl>
    <w:lvl w:ilvl="7">
      <w:start w:val="1"/>
      <w:numFmt w:val="bullet"/>
      <w:lvlText w:val="o"/>
      <w:lvlJc w:val="left"/>
      <w:pPr>
        <w:ind w:left="7115" w:hanging="360"/>
      </w:pPr>
      <w:rPr>
        <w:rFonts w:ascii="Courier New" w:eastAsia="Courier New" w:hAnsi="Courier New" w:cs="Courier New"/>
      </w:rPr>
    </w:lvl>
    <w:lvl w:ilvl="8">
      <w:start w:val="1"/>
      <w:numFmt w:val="bullet"/>
      <w:lvlText w:val="▪"/>
      <w:lvlJc w:val="left"/>
      <w:pPr>
        <w:ind w:left="7835" w:hanging="360"/>
      </w:pPr>
      <w:rPr>
        <w:rFonts w:ascii="Noto Sans Symbols" w:eastAsia="Noto Sans Symbols" w:hAnsi="Noto Sans Symbols" w:cs="Noto Sans Symbols"/>
      </w:rPr>
    </w:lvl>
  </w:abstractNum>
  <w:abstractNum w:abstractNumId="43" w15:restartNumberingAfterBreak="0">
    <w:nsid w:val="5B952209"/>
    <w:multiLevelType w:val="hybridMultilevel"/>
    <w:tmpl w:val="BBA06C4E"/>
    <w:lvl w:ilvl="0" w:tplc="E1C0029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5CA60F49"/>
    <w:multiLevelType w:val="hybridMultilevel"/>
    <w:tmpl w:val="4156E9B2"/>
    <w:lvl w:ilvl="0" w:tplc="E1C00296">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5" w15:restartNumberingAfterBreak="0">
    <w:nsid w:val="5D4F6316"/>
    <w:multiLevelType w:val="hybridMultilevel"/>
    <w:tmpl w:val="FF74C8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60112BCE"/>
    <w:multiLevelType w:val="hybridMultilevel"/>
    <w:tmpl w:val="55BED9A8"/>
    <w:lvl w:ilvl="0" w:tplc="E1C00296">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7" w15:restartNumberingAfterBreak="0">
    <w:nsid w:val="60376B48"/>
    <w:multiLevelType w:val="multilevel"/>
    <w:tmpl w:val="9DEAB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12211BE"/>
    <w:multiLevelType w:val="hybridMultilevel"/>
    <w:tmpl w:val="AD1ED322"/>
    <w:lvl w:ilvl="0" w:tplc="E1C00296">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9" w15:restartNumberingAfterBreak="0">
    <w:nsid w:val="63131750"/>
    <w:multiLevelType w:val="multilevel"/>
    <w:tmpl w:val="15C46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3742C5F"/>
    <w:multiLevelType w:val="multilevel"/>
    <w:tmpl w:val="CA744178"/>
    <w:lvl w:ilvl="0">
      <w:start w:val="1"/>
      <w:numFmt w:val="bullet"/>
      <w:lvlText w:val="●"/>
      <w:lvlJc w:val="left"/>
      <w:pPr>
        <w:ind w:left="2075" w:hanging="360"/>
      </w:pPr>
      <w:rPr>
        <w:rFonts w:ascii="Noto Sans Symbols" w:eastAsia="Noto Sans Symbols" w:hAnsi="Noto Sans Symbols" w:cs="Noto Sans Symbols"/>
      </w:rPr>
    </w:lvl>
    <w:lvl w:ilvl="1">
      <w:start w:val="1"/>
      <w:numFmt w:val="bullet"/>
      <w:lvlText w:val="o"/>
      <w:lvlJc w:val="left"/>
      <w:pPr>
        <w:ind w:left="2795" w:hanging="360"/>
      </w:pPr>
      <w:rPr>
        <w:rFonts w:ascii="Courier New" w:eastAsia="Courier New" w:hAnsi="Courier New" w:cs="Courier New"/>
      </w:rPr>
    </w:lvl>
    <w:lvl w:ilvl="2">
      <w:start w:val="1"/>
      <w:numFmt w:val="bullet"/>
      <w:lvlText w:val="▪"/>
      <w:lvlJc w:val="left"/>
      <w:pPr>
        <w:ind w:left="3515" w:hanging="360"/>
      </w:pPr>
      <w:rPr>
        <w:rFonts w:ascii="Noto Sans Symbols" w:eastAsia="Noto Sans Symbols" w:hAnsi="Noto Sans Symbols" w:cs="Noto Sans Symbols"/>
      </w:rPr>
    </w:lvl>
    <w:lvl w:ilvl="3">
      <w:start w:val="1"/>
      <w:numFmt w:val="bullet"/>
      <w:lvlText w:val="●"/>
      <w:lvlJc w:val="left"/>
      <w:pPr>
        <w:ind w:left="4235" w:hanging="360"/>
      </w:pPr>
      <w:rPr>
        <w:rFonts w:ascii="Noto Sans Symbols" w:eastAsia="Noto Sans Symbols" w:hAnsi="Noto Sans Symbols" w:cs="Noto Sans Symbols"/>
      </w:rPr>
    </w:lvl>
    <w:lvl w:ilvl="4">
      <w:start w:val="1"/>
      <w:numFmt w:val="bullet"/>
      <w:lvlText w:val="o"/>
      <w:lvlJc w:val="left"/>
      <w:pPr>
        <w:ind w:left="4955" w:hanging="360"/>
      </w:pPr>
      <w:rPr>
        <w:rFonts w:ascii="Courier New" w:eastAsia="Courier New" w:hAnsi="Courier New" w:cs="Courier New"/>
      </w:rPr>
    </w:lvl>
    <w:lvl w:ilvl="5">
      <w:start w:val="1"/>
      <w:numFmt w:val="bullet"/>
      <w:lvlText w:val="▪"/>
      <w:lvlJc w:val="left"/>
      <w:pPr>
        <w:ind w:left="5675" w:hanging="360"/>
      </w:pPr>
      <w:rPr>
        <w:rFonts w:ascii="Noto Sans Symbols" w:eastAsia="Noto Sans Symbols" w:hAnsi="Noto Sans Symbols" w:cs="Noto Sans Symbols"/>
      </w:rPr>
    </w:lvl>
    <w:lvl w:ilvl="6">
      <w:start w:val="1"/>
      <w:numFmt w:val="bullet"/>
      <w:lvlText w:val="●"/>
      <w:lvlJc w:val="left"/>
      <w:pPr>
        <w:ind w:left="6395" w:hanging="360"/>
      </w:pPr>
      <w:rPr>
        <w:rFonts w:ascii="Noto Sans Symbols" w:eastAsia="Noto Sans Symbols" w:hAnsi="Noto Sans Symbols" w:cs="Noto Sans Symbols"/>
      </w:rPr>
    </w:lvl>
    <w:lvl w:ilvl="7">
      <w:start w:val="1"/>
      <w:numFmt w:val="bullet"/>
      <w:lvlText w:val="o"/>
      <w:lvlJc w:val="left"/>
      <w:pPr>
        <w:ind w:left="7115" w:hanging="360"/>
      </w:pPr>
      <w:rPr>
        <w:rFonts w:ascii="Courier New" w:eastAsia="Courier New" w:hAnsi="Courier New" w:cs="Courier New"/>
      </w:rPr>
    </w:lvl>
    <w:lvl w:ilvl="8">
      <w:start w:val="1"/>
      <w:numFmt w:val="bullet"/>
      <w:lvlText w:val="▪"/>
      <w:lvlJc w:val="left"/>
      <w:pPr>
        <w:ind w:left="7835" w:hanging="360"/>
      </w:pPr>
      <w:rPr>
        <w:rFonts w:ascii="Noto Sans Symbols" w:eastAsia="Noto Sans Symbols" w:hAnsi="Noto Sans Symbols" w:cs="Noto Sans Symbols"/>
      </w:rPr>
    </w:lvl>
  </w:abstractNum>
  <w:abstractNum w:abstractNumId="51" w15:restartNumberingAfterBreak="0">
    <w:nsid w:val="68775E9A"/>
    <w:multiLevelType w:val="multilevel"/>
    <w:tmpl w:val="EA30F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BF97FD6"/>
    <w:multiLevelType w:val="hybridMultilevel"/>
    <w:tmpl w:val="0BD2C1B6"/>
    <w:lvl w:ilvl="0" w:tplc="E1C0029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6CD04552"/>
    <w:multiLevelType w:val="hybridMultilevel"/>
    <w:tmpl w:val="4C0CEB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6D1A52EA"/>
    <w:multiLevelType w:val="multilevel"/>
    <w:tmpl w:val="41D02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7287D78"/>
    <w:multiLevelType w:val="hybridMultilevel"/>
    <w:tmpl w:val="7CE24A00"/>
    <w:lvl w:ilvl="0" w:tplc="E1C00296">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6" w15:restartNumberingAfterBreak="0">
    <w:nsid w:val="7A1F4ABF"/>
    <w:multiLevelType w:val="multilevel"/>
    <w:tmpl w:val="EB1E9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EB42355"/>
    <w:multiLevelType w:val="hybridMultilevel"/>
    <w:tmpl w:val="77E2B9D6"/>
    <w:lvl w:ilvl="0" w:tplc="E1C0029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92266949">
    <w:abstractNumId w:val="50"/>
  </w:num>
  <w:num w:numId="2" w16cid:durableId="1143280696">
    <w:abstractNumId w:val="40"/>
  </w:num>
  <w:num w:numId="3" w16cid:durableId="828326562">
    <w:abstractNumId w:val="6"/>
  </w:num>
  <w:num w:numId="4" w16cid:durableId="26176299">
    <w:abstractNumId w:val="5"/>
  </w:num>
  <w:num w:numId="5" w16cid:durableId="701899684">
    <w:abstractNumId w:val="1"/>
  </w:num>
  <w:num w:numId="6" w16cid:durableId="1296760952">
    <w:abstractNumId w:val="28"/>
  </w:num>
  <w:num w:numId="7" w16cid:durableId="1487745714">
    <w:abstractNumId w:val="54"/>
  </w:num>
  <w:num w:numId="8" w16cid:durableId="1092436647">
    <w:abstractNumId w:val="17"/>
  </w:num>
  <w:num w:numId="9" w16cid:durableId="1112475398">
    <w:abstractNumId w:val="32"/>
  </w:num>
  <w:num w:numId="10" w16cid:durableId="1412509914">
    <w:abstractNumId w:val="16"/>
  </w:num>
  <w:num w:numId="11" w16cid:durableId="699671422">
    <w:abstractNumId w:val="14"/>
  </w:num>
  <w:num w:numId="12" w16cid:durableId="932863333">
    <w:abstractNumId w:val="10"/>
  </w:num>
  <w:num w:numId="13" w16cid:durableId="72358496">
    <w:abstractNumId w:val="31"/>
  </w:num>
  <w:num w:numId="14" w16cid:durableId="785075785">
    <w:abstractNumId w:val="49"/>
  </w:num>
  <w:num w:numId="15" w16cid:durableId="1717123303">
    <w:abstractNumId w:val="3"/>
  </w:num>
  <w:num w:numId="16" w16cid:durableId="2011441210">
    <w:abstractNumId w:val="21"/>
  </w:num>
  <w:num w:numId="17" w16cid:durableId="724566919">
    <w:abstractNumId w:val="12"/>
  </w:num>
  <w:num w:numId="18" w16cid:durableId="111049361">
    <w:abstractNumId w:val="51"/>
  </w:num>
  <w:num w:numId="19" w16cid:durableId="231962408">
    <w:abstractNumId w:val="4"/>
  </w:num>
  <w:num w:numId="20" w16cid:durableId="876238475">
    <w:abstractNumId w:val="34"/>
  </w:num>
  <w:num w:numId="21" w16cid:durableId="1888223979">
    <w:abstractNumId w:val="13"/>
  </w:num>
  <w:num w:numId="22" w16cid:durableId="559286183">
    <w:abstractNumId w:val="19"/>
  </w:num>
  <w:num w:numId="23" w16cid:durableId="1582252856">
    <w:abstractNumId w:val="42"/>
  </w:num>
  <w:num w:numId="24" w16cid:durableId="661809159">
    <w:abstractNumId w:val="22"/>
  </w:num>
  <w:num w:numId="25" w16cid:durableId="943459741">
    <w:abstractNumId w:val="2"/>
  </w:num>
  <w:num w:numId="26" w16cid:durableId="741947427">
    <w:abstractNumId w:val="45"/>
  </w:num>
  <w:num w:numId="27" w16cid:durableId="200361189">
    <w:abstractNumId w:val="37"/>
  </w:num>
  <w:num w:numId="28" w16cid:durableId="1195119345">
    <w:abstractNumId w:val="53"/>
  </w:num>
  <w:num w:numId="29" w16cid:durableId="1293825155">
    <w:abstractNumId w:val="27"/>
  </w:num>
  <w:num w:numId="30" w16cid:durableId="1988121636">
    <w:abstractNumId w:val="20"/>
  </w:num>
  <w:num w:numId="31" w16cid:durableId="1801066565">
    <w:abstractNumId w:val="29"/>
  </w:num>
  <w:num w:numId="32" w16cid:durableId="2104256762">
    <w:abstractNumId w:val="57"/>
  </w:num>
  <w:num w:numId="33" w16cid:durableId="1089353510">
    <w:abstractNumId w:val="52"/>
  </w:num>
  <w:num w:numId="34" w16cid:durableId="896357810">
    <w:abstractNumId w:val="36"/>
  </w:num>
  <w:num w:numId="35" w16cid:durableId="312874111">
    <w:abstractNumId w:val="25"/>
  </w:num>
  <w:num w:numId="36" w16cid:durableId="806630717">
    <w:abstractNumId w:val="8"/>
  </w:num>
  <w:num w:numId="37" w16cid:durableId="1724602131">
    <w:abstractNumId w:val="47"/>
  </w:num>
  <w:num w:numId="38" w16cid:durableId="1203136394">
    <w:abstractNumId w:val="35"/>
  </w:num>
  <w:num w:numId="39" w16cid:durableId="1250845855">
    <w:abstractNumId w:val="56"/>
  </w:num>
  <w:num w:numId="40" w16cid:durableId="173767180">
    <w:abstractNumId w:val="39"/>
  </w:num>
  <w:num w:numId="41" w16cid:durableId="106123703">
    <w:abstractNumId w:val="7"/>
  </w:num>
  <w:num w:numId="42" w16cid:durableId="547839943">
    <w:abstractNumId w:val="26"/>
  </w:num>
  <w:num w:numId="43" w16cid:durableId="2126655309">
    <w:abstractNumId w:val="41"/>
  </w:num>
  <w:num w:numId="44" w16cid:durableId="2014919194">
    <w:abstractNumId w:val="18"/>
  </w:num>
  <w:num w:numId="45" w16cid:durableId="1995182258">
    <w:abstractNumId w:val="33"/>
  </w:num>
  <w:num w:numId="46" w16cid:durableId="1225948363">
    <w:abstractNumId w:val="43"/>
  </w:num>
  <w:num w:numId="47" w16cid:durableId="1833178497">
    <w:abstractNumId w:val="23"/>
  </w:num>
  <w:num w:numId="48" w16cid:durableId="345643422">
    <w:abstractNumId w:val="30"/>
  </w:num>
  <w:num w:numId="49" w16cid:durableId="552304572">
    <w:abstractNumId w:val="11"/>
  </w:num>
  <w:num w:numId="50" w16cid:durableId="556742354">
    <w:abstractNumId w:val="48"/>
  </w:num>
  <w:num w:numId="51" w16cid:durableId="1314263418">
    <w:abstractNumId w:val="15"/>
  </w:num>
  <w:num w:numId="52" w16cid:durableId="1642341978">
    <w:abstractNumId w:val="55"/>
  </w:num>
  <w:num w:numId="53" w16cid:durableId="1294284848">
    <w:abstractNumId w:val="24"/>
  </w:num>
  <w:num w:numId="54" w16cid:durableId="1416633557">
    <w:abstractNumId w:val="38"/>
  </w:num>
  <w:num w:numId="55" w16cid:durableId="1814102865">
    <w:abstractNumId w:val="44"/>
  </w:num>
  <w:num w:numId="56" w16cid:durableId="739330221">
    <w:abstractNumId w:val="46"/>
  </w:num>
  <w:num w:numId="57" w16cid:durableId="1224368180">
    <w:abstractNumId w:val="0"/>
  </w:num>
  <w:num w:numId="58" w16cid:durableId="19429120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A6"/>
    <w:rsid w:val="0000076D"/>
    <w:rsid w:val="00013680"/>
    <w:rsid w:val="0001383F"/>
    <w:rsid w:val="0002433B"/>
    <w:rsid w:val="00041073"/>
    <w:rsid w:val="00041F93"/>
    <w:rsid w:val="000672E8"/>
    <w:rsid w:val="000749EC"/>
    <w:rsid w:val="000853B3"/>
    <w:rsid w:val="000909A6"/>
    <w:rsid w:val="00091A40"/>
    <w:rsid w:val="000A468E"/>
    <w:rsid w:val="000B27DA"/>
    <w:rsid w:val="000B2B65"/>
    <w:rsid w:val="000B6609"/>
    <w:rsid w:val="000B7376"/>
    <w:rsid w:val="000C6F44"/>
    <w:rsid w:val="000D31E4"/>
    <w:rsid w:val="000D711B"/>
    <w:rsid w:val="000E2416"/>
    <w:rsid w:val="000F0E59"/>
    <w:rsid w:val="000F157F"/>
    <w:rsid w:val="000F2C19"/>
    <w:rsid w:val="000F7A35"/>
    <w:rsid w:val="00101DB7"/>
    <w:rsid w:val="00101FF6"/>
    <w:rsid w:val="00113CF2"/>
    <w:rsid w:val="0011448E"/>
    <w:rsid w:val="0011509E"/>
    <w:rsid w:val="00120734"/>
    <w:rsid w:val="001235BC"/>
    <w:rsid w:val="0012577F"/>
    <w:rsid w:val="00137AC6"/>
    <w:rsid w:val="00152C57"/>
    <w:rsid w:val="00163222"/>
    <w:rsid w:val="00164E6F"/>
    <w:rsid w:val="00172506"/>
    <w:rsid w:val="00175FD3"/>
    <w:rsid w:val="00190958"/>
    <w:rsid w:val="001A25E1"/>
    <w:rsid w:val="001A4A04"/>
    <w:rsid w:val="001B68B8"/>
    <w:rsid w:val="001C0EF6"/>
    <w:rsid w:val="001D503A"/>
    <w:rsid w:val="001E00D0"/>
    <w:rsid w:val="001E2235"/>
    <w:rsid w:val="00200F9F"/>
    <w:rsid w:val="002138F0"/>
    <w:rsid w:val="00215D74"/>
    <w:rsid w:val="00226B9A"/>
    <w:rsid w:val="00232CA8"/>
    <w:rsid w:val="00251A8D"/>
    <w:rsid w:val="00252E5C"/>
    <w:rsid w:val="00273A2E"/>
    <w:rsid w:val="0029364A"/>
    <w:rsid w:val="00293794"/>
    <w:rsid w:val="002C0F56"/>
    <w:rsid w:val="002D2D2E"/>
    <w:rsid w:val="002D6371"/>
    <w:rsid w:val="002E6F2E"/>
    <w:rsid w:val="002F1515"/>
    <w:rsid w:val="002F357B"/>
    <w:rsid w:val="00311828"/>
    <w:rsid w:val="0033660B"/>
    <w:rsid w:val="00360089"/>
    <w:rsid w:val="0036267C"/>
    <w:rsid w:val="003638B4"/>
    <w:rsid w:val="003721CE"/>
    <w:rsid w:val="003753CA"/>
    <w:rsid w:val="00380B1B"/>
    <w:rsid w:val="00387B50"/>
    <w:rsid w:val="00390752"/>
    <w:rsid w:val="00397BF9"/>
    <w:rsid w:val="003A13F5"/>
    <w:rsid w:val="003A448F"/>
    <w:rsid w:val="003A49B1"/>
    <w:rsid w:val="003C07DF"/>
    <w:rsid w:val="003C0BFF"/>
    <w:rsid w:val="003C301C"/>
    <w:rsid w:val="003C69A0"/>
    <w:rsid w:val="003D0FD5"/>
    <w:rsid w:val="003D1E6B"/>
    <w:rsid w:val="0042693F"/>
    <w:rsid w:val="00437E10"/>
    <w:rsid w:val="00442ED5"/>
    <w:rsid w:val="00442F54"/>
    <w:rsid w:val="00443DE2"/>
    <w:rsid w:val="00446BBB"/>
    <w:rsid w:val="00450F65"/>
    <w:rsid w:val="00452D82"/>
    <w:rsid w:val="004629D6"/>
    <w:rsid w:val="00462ADB"/>
    <w:rsid w:val="00470919"/>
    <w:rsid w:val="00484C83"/>
    <w:rsid w:val="00487D60"/>
    <w:rsid w:val="004901F1"/>
    <w:rsid w:val="004951B7"/>
    <w:rsid w:val="004A4B70"/>
    <w:rsid w:val="004C3EA2"/>
    <w:rsid w:val="004D5DAD"/>
    <w:rsid w:val="004E03CF"/>
    <w:rsid w:val="004E2ADF"/>
    <w:rsid w:val="00500D94"/>
    <w:rsid w:val="00513992"/>
    <w:rsid w:val="0051726B"/>
    <w:rsid w:val="0052700E"/>
    <w:rsid w:val="005330F2"/>
    <w:rsid w:val="0053406C"/>
    <w:rsid w:val="00534D04"/>
    <w:rsid w:val="00545245"/>
    <w:rsid w:val="00565E97"/>
    <w:rsid w:val="0057176F"/>
    <w:rsid w:val="00572B6E"/>
    <w:rsid w:val="005730B3"/>
    <w:rsid w:val="00580F5C"/>
    <w:rsid w:val="005828AB"/>
    <w:rsid w:val="00584AC2"/>
    <w:rsid w:val="00585FE3"/>
    <w:rsid w:val="0059235B"/>
    <w:rsid w:val="005944B8"/>
    <w:rsid w:val="005A21BA"/>
    <w:rsid w:val="005B4AFF"/>
    <w:rsid w:val="005C4AD5"/>
    <w:rsid w:val="005C5474"/>
    <w:rsid w:val="005D143F"/>
    <w:rsid w:val="005D747B"/>
    <w:rsid w:val="005F5160"/>
    <w:rsid w:val="00623223"/>
    <w:rsid w:val="00630328"/>
    <w:rsid w:val="006342A3"/>
    <w:rsid w:val="00650B96"/>
    <w:rsid w:val="00652897"/>
    <w:rsid w:val="00655402"/>
    <w:rsid w:val="00660492"/>
    <w:rsid w:val="006624DA"/>
    <w:rsid w:val="00666C58"/>
    <w:rsid w:val="00673468"/>
    <w:rsid w:val="00677A50"/>
    <w:rsid w:val="006807F2"/>
    <w:rsid w:val="0068792C"/>
    <w:rsid w:val="006A2BDF"/>
    <w:rsid w:val="006B1ACB"/>
    <w:rsid w:val="006C1BF1"/>
    <w:rsid w:val="006C3505"/>
    <w:rsid w:val="006C7CCB"/>
    <w:rsid w:val="006D11ED"/>
    <w:rsid w:val="006D4DC4"/>
    <w:rsid w:val="006E37B8"/>
    <w:rsid w:val="006F19F1"/>
    <w:rsid w:val="006F2D39"/>
    <w:rsid w:val="006F6AE5"/>
    <w:rsid w:val="0070767D"/>
    <w:rsid w:val="007158C6"/>
    <w:rsid w:val="007249E7"/>
    <w:rsid w:val="00735F11"/>
    <w:rsid w:val="00740892"/>
    <w:rsid w:val="00744376"/>
    <w:rsid w:val="00765F63"/>
    <w:rsid w:val="00766770"/>
    <w:rsid w:val="007A7B1E"/>
    <w:rsid w:val="007D41DE"/>
    <w:rsid w:val="007D6846"/>
    <w:rsid w:val="007E0909"/>
    <w:rsid w:val="007F149B"/>
    <w:rsid w:val="007F1A77"/>
    <w:rsid w:val="007F3334"/>
    <w:rsid w:val="00805232"/>
    <w:rsid w:val="00814C8F"/>
    <w:rsid w:val="00834FE8"/>
    <w:rsid w:val="00836E4B"/>
    <w:rsid w:val="00837E81"/>
    <w:rsid w:val="0084184E"/>
    <w:rsid w:val="008537BE"/>
    <w:rsid w:val="00854458"/>
    <w:rsid w:val="00886D73"/>
    <w:rsid w:val="008A02CC"/>
    <w:rsid w:val="008A2C3A"/>
    <w:rsid w:val="008A6FC1"/>
    <w:rsid w:val="008B0CEB"/>
    <w:rsid w:val="008E67CF"/>
    <w:rsid w:val="008F1583"/>
    <w:rsid w:val="008F4B80"/>
    <w:rsid w:val="00922A77"/>
    <w:rsid w:val="00924995"/>
    <w:rsid w:val="00930FF4"/>
    <w:rsid w:val="00941B47"/>
    <w:rsid w:val="00941F58"/>
    <w:rsid w:val="009509F7"/>
    <w:rsid w:val="009672B0"/>
    <w:rsid w:val="0097305D"/>
    <w:rsid w:val="00983B12"/>
    <w:rsid w:val="00991A7E"/>
    <w:rsid w:val="009942F6"/>
    <w:rsid w:val="009A075D"/>
    <w:rsid w:val="009A5AF8"/>
    <w:rsid w:val="009B0711"/>
    <w:rsid w:val="009B52B5"/>
    <w:rsid w:val="009B74B3"/>
    <w:rsid w:val="009C12AC"/>
    <w:rsid w:val="009C59E8"/>
    <w:rsid w:val="009E2CC0"/>
    <w:rsid w:val="009E3789"/>
    <w:rsid w:val="009E3F51"/>
    <w:rsid w:val="009F53E8"/>
    <w:rsid w:val="00A0332E"/>
    <w:rsid w:val="00A11154"/>
    <w:rsid w:val="00A114F7"/>
    <w:rsid w:val="00A131D1"/>
    <w:rsid w:val="00A2676D"/>
    <w:rsid w:val="00A31AC7"/>
    <w:rsid w:val="00A36184"/>
    <w:rsid w:val="00A402D3"/>
    <w:rsid w:val="00A56CA1"/>
    <w:rsid w:val="00A64AD4"/>
    <w:rsid w:val="00A71DE2"/>
    <w:rsid w:val="00A802BC"/>
    <w:rsid w:val="00A80751"/>
    <w:rsid w:val="00A85192"/>
    <w:rsid w:val="00A87D31"/>
    <w:rsid w:val="00A93084"/>
    <w:rsid w:val="00AA18E2"/>
    <w:rsid w:val="00AA3077"/>
    <w:rsid w:val="00AA5BAE"/>
    <w:rsid w:val="00AD772A"/>
    <w:rsid w:val="00AE2FA5"/>
    <w:rsid w:val="00B06856"/>
    <w:rsid w:val="00B1694D"/>
    <w:rsid w:val="00B20983"/>
    <w:rsid w:val="00B20AA9"/>
    <w:rsid w:val="00B21C0C"/>
    <w:rsid w:val="00B3207A"/>
    <w:rsid w:val="00B3419F"/>
    <w:rsid w:val="00B3612B"/>
    <w:rsid w:val="00B416CC"/>
    <w:rsid w:val="00B44671"/>
    <w:rsid w:val="00B50EF2"/>
    <w:rsid w:val="00B558D2"/>
    <w:rsid w:val="00B60BF7"/>
    <w:rsid w:val="00B742E2"/>
    <w:rsid w:val="00B94066"/>
    <w:rsid w:val="00BA0210"/>
    <w:rsid w:val="00BA10B0"/>
    <w:rsid w:val="00BA3847"/>
    <w:rsid w:val="00BB575C"/>
    <w:rsid w:val="00BC0060"/>
    <w:rsid w:val="00BD1E95"/>
    <w:rsid w:val="00BD6CEA"/>
    <w:rsid w:val="00BE4C7F"/>
    <w:rsid w:val="00BF2081"/>
    <w:rsid w:val="00BF29CD"/>
    <w:rsid w:val="00C12101"/>
    <w:rsid w:val="00C2393F"/>
    <w:rsid w:val="00C359EC"/>
    <w:rsid w:val="00C36AC1"/>
    <w:rsid w:val="00C37A3E"/>
    <w:rsid w:val="00C509A5"/>
    <w:rsid w:val="00C50C47"/>
    <w:rsid w:val="00C55E76"/>
    <w:rsid w:val="00C60AFB"/>
    <w:rsid w:val="00C7056C"/>
    <w:rsid w:val="00C96265"/>
    <w:rsid w:val="00CA13C4"/>
    <w:rsid w:val="00CA3CEE"/>
    <w:rsid w:val="00CD01CB"/>
    <w:rsid w:val="00CD19CF"/>
    <w:rsid w:val="00CF1A9F"/>
    <w:rsid w:val="00CF1AE7"/>
    <w:rsid w:val="00CF4A07"/>
    <w:rsid w:val="00D07386"/>
    <w:rsid w:val="00D10A37"/>
    <w:rsid w:val="00D20595"/>
    <w:rsid w:val="00D26610"/>
    <w:rsid w:val="00D303F8"/>
    <w:rsid w:val="00D319BC"/>
    <w:rsid w:val="00D31F56"/>
    <w:rsid w:val="00D448C2"/>
    <w:rsid w:val="00D453FD"/>
    <w:rsid w:val="00D52604"/>
    <w:rsid w:val="00D62250"/>
    <w:rsid w:val="00D744D9"/>
    <w:rsid w:val="00D75222"/>
    <w:rsid w:val="00D769BC"/>
    <w:rsid w:val="00D7731C"/>
    <w:rsid w:val="00DB0387"/>
    <w:rsid w:val="00DD5BAC"/>
    <w:rsid w:val="00DF07C8"/>
    <w:rsid w:val="00E103BA"/>
    <w:rsid w:val="00E10B23"/>
    <w:rsid w:val="00E122E6"/>
    <w:rsid w:val="00E207AD"/>
    <w:rsid w:val="00E24A19"/>
    <w:rsid w:val="00E252A1"/>
    <w:rsid w:val="00E37AE1"/>
    <w:rsid w:val="00E433C7"/>
    <w:rsid w:val="00E44B43"/>
    <w:rsid w:val="00E45676"/>
    <w:rsid w:val="00E477EE"/>
    <w:rsid w:val="00E619E4"/>
    <w:rsid w:val="00E67EE6"/>
    <w:rsid w:val="00E73ED6"/>
    <w:rsid w:val="00E741DD"/>
    <w:rsid w:val="00E82510"/>
    <w:rsid w:val="00E85D9C"/>
    <w:rsid w:val="00E957AA"/>
    <w:rsid w:val="00EA6CCE"/>
    <w:rsid w:val="00EB39C1"/>
    <w:rsid w:val="00EB7BD5"/>
    <w:rsid w:val="00EC483B"/>
    <w:rsid w:val="00EC6614"/>
    <w:rsid w:val="00ED0AAB"/>
    <w:rsid w:val="00EF0023"/>
    <w:rsid w:val="00F00C91"/>
    <w:rsid w:val="00F02A12"/>
    <w:rsid w:val="00F03EBB"/>
    <w:rsid w:val="00F04C82"/>
    <w:rsid w:val="00F13C98"/>
    <w:rsid w:val="00F14837"/>
    <w:rsid w:val="00F1752A"/>
    <w:rsid w:val="00F17545"/>
    <w:rsid w:val="00F231B8"/>
    <w:rsid w:val="00F3191F"/>
    <w:rsid w:val="00F365F4"/>
    <w:rsid w:val="00F4357B"/>
    <w:rsid w:val="00F50DC4"/>
    <w:rsid w:val="00F55AA5"/>
    <w:rsid w:val="00F55ED0"/>
    <w:rsid w:val="00F605F4"/>
    <w:rsid w:val="00F74E12"/>
    <w:rsid w:val="00F75F2B"/>
    <w:rsid w:val="00F76C16"/>
    <w:rsid w:val="00F83514"/>
    <w:rsid w:val="00F84608"/>
    <w:rsid w:val="00F876AA"/>
    <w:rsid w:val="00FA0A61"/>
    <w:rsid w:val="00FA11E6"/>
    <w:rsid w:val="00FA3741"/>
    <w:rsid w:val="00FC0855"/>
    <w:rsid w:val="00FC169F"/>
    <w:rsid w:val="00FD187D"/>
    <w:rsid w:val="00FE378E"/>
    <w:rsid w:val="00FF4061"/>
    <w:rsid w:val="00FF65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46BB2"/>
  <w15:docId w15:val="{2B239350-1B46-4BEE-8990-DACD7CD8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TCommons-Regular" w:eastAsia="TTCommons-Regular" w:hAnsi="TTCommons-Regular" w:cs="TTCommons-Regular"/>
        <w:sz w:val="24"/>
        <w:szCs w:val="24"/>
        <w:lang w:val="en-GB"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VIALET NORMAL"/>
    <w:qFormat/>
    <w:rsid w:val="00507EC2"/>
    <w:rPr>
      <w:rFonts w:cs="Times New Roman"/>
      <w:lang w:eastAsia="en-GB"/>
    </w:rPr>
  </w:style>
  <w:style w:type="paragraph" w:styleId="Heading1">
    <w:name w:val="heading 1"/>
    <w:aliases w:val="VIALET Heading 1"/>
    <w:basedOn w:val="Normal"/>
    <w:next w:val="Normal"/>
    <w:link w:val="Heading1Char"/>
    <w:uiPriority w:val="9"/>
    <w:qFormat/>
    <w:rsid w:val="0000396D"/>
    <w:pPr>
      <w:keepNext/>
      <w:keepLines/>
      <w:spacing w:before="360" w:after="80"/>
      <w:outlineLvl w:val="0"/>
    </w:pPr>
    <w:rPr>
      <w:rFonts w:eastAsiaTheme="majorEastAsia" w:cstheme="majorBidi"/>
      <w:b/>
      <w:kern w:val="2"/>
      <w:szCs w:val="40"/>
      <w:lang w:eastAsia="en-US"/>
    </w:rPr>
  </w:style>
  <w:style w:type="paragraph" w:styleId="Heading2">
    <w:name w:val="heading 2"/>
    <w:aliases w:val="Vialet Heading 2"/>
    <w:basedOn w:val="Normal"/>
    <w:next w:val="Normal"/>
    <w:link w:val="Heading2Char"/>
    <w:uiPriority w:val="9"/>
    <w:unhideWhenUsed/>
    <w:qFormat/>
    <w:rsid w:val="005045E2"/>
    <w:pPr>
      <w:keepNext/>
      <w:keepLines/>
      <w:spacing w:before="160" w:after="80"/>
      <w:outlineLvl w:val="1"/>
    </w:pPr>
    <w:rPr>
      <w:rFonts w:eastAsiaTheme="majorEastAsia" w:cstheme="majorBidi"/>
      <w:b/>
      <w:kern w:val="2"/>
      <w:sz w:val="20"/>
      <w:szCs w:val="32"/>
      <w:lang w:eastAsia="en-US"/>
    </w:rPr>
  </w:style>
  <w:style w:type="paragraph" w:styleId="Heading3">
    <w:name w:val="heading 3"/>
    <w:basedOn w:val="Normal"/>
    <w:next w:val="Normal"/>
    <w:link w:val="Heading3Char"/>
    <w:uiPriority w:val="9"/>
    <w:semiHidden/>
    <w:unhideWhenUsed/>
    <w:qFormat/>
    <w:rsid w:val="00EF77E9"/>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EF77E9"/>
    <w:pPr>
      <w:keepNext/>
      <w:keepLines/>
      <w:spacing w:before="80" w:after="40"/>
      <w:outlineLvl w:val="3"/>
    </w:pPr>
    <w:rPr>
      <w:rFonts w:asciiTheme="minorHAnsi" w:eastAsiaTheme="majorEastAsia" w:hAnsiTheme="minorHAnsi" w:cstheme="majorBidi"/>
      <w:i/>
      <w:iCs/>
      <w:color w:val="0F4761" w:themeColor="accent1" w:themeShade="BF"/>
      <w:kern w:val="2"/>
      <w:lang w:eastAsia="en-US"/>
    </w:rPr>
  </w:style>
  <w:style w:type="paragraph" w:styleId="Heading5">
    <w:name w:val="heading 5"/>
    <w:basedOn w:val="Normal"/>
    <w:next w:val="Normal"/>
    <w:link w:val="Heading5Char"/>
    <w:uiPriority w:val="9"/>
    <w:semiHidden/>
    <w:unhideWhenUsed/>
    <w:qFormat/>
    <w:rsid w:val="00EF77E9"/>
    <w:pPr>
      <w:keepNext/>
      <w:keepLines/>
      <w:spacing w:before="80" w:after="40"/>
      <w:outlineLvl w:val="4"/>
    </w:pPr>
    <w:rPr>
      <w:rFonts w:asciiTheme="minorHAnsi" w:eastAsiaTheme="majorEastAsia" w:hAnsiTheme="minorHAnsi" w:cstheme="majorBidi"/>
      <w:color w:val="0F4761" w:themeColor="accent1" w:themeShade="BF"/>
      <w:kern w:val="2"/>
      <w:lang w:eastAsia="en-US"/>
    </w:rPr>
  </w:style>
  <w:style w:type="paragraph" w:styleId="Heading6">
    <w:name w:val="heading 6"/>
    <w:basedOn w:val="Normal"/>
    <w:next w:val="Normal"/>
    <w:link w:val="Heading6Char"/>
    <w:uiPriority w:val="9"/>
    <w:semiHidden/>
    <w:unhideWhenUsed/>
    <w:qFormat/>
    <w:rsid w:val="00EF77E9"/>
    <w:pPr>
      <w:keepNext/>
      <w:keepLines/>
      <w:spacing w:before="40"/>
      <w:outlineLvl w:val="5"/>
    </w:pPr>
    <w:rPr>
      <w:rFonts w:asciiTheme="minorHAnsi" w:eastAsiaTheme="majorEastAsia" w:hAnsiTheme="minorHAnsi" w:cstheme="majorBidi"/>
      <w:i/>
      <w:iCs/>
      <w:color w:val="595959" w:themeColor="text1" w:themeTint="A6"/>
      <w:kern w:val="2"/>
      <w:lang w:eastAsia="en-US"/>
    </w:rPr>
  </w:style>
  <w:style w:type="paragraph" w:styleId="Heading7">
    <w:name w:val="heading 7"/>
    <w:basedOn w:val="Normal"/>
    <w:next w:val="Normal"/>
    <w:link w:val="Heading7Char"/>
    <w:uiPriority w:val="9"/>
    <w:semiHidden/>
    <w:unhideWhenUsed/>
    <w:qFormat/>
    <w:rsid w:val="00EF77E9"/>
    <w:pPr>
      <w:keepNext/>
      <w:keepLines/>
      <w:spacing w:before="40"/>
      <w:outlineLvl w:val="6"/>
    </w:pPr>
    <w:rPr>
      <w:rFonts w:asciiTheme="minorHAnsi" w:eastAsiaTheme="majorEastAsia" w:hAnsiTheme="minorHAnsi" w:cstheme="majorBidi"/>
      <w:color w:val="595959" w:themeColor="text1" w:themeTint="A6"/>
      <w:kern w:val="2"/>
      <w:lang w:eastAsia="en-US"/>
    </w:rPr>
  </w:style>
  <w:style w:type="paragraph" w:styleId="Heading8">
    <w:name w:val="heading 8"/>
    <w:basedOn w:val="Normal"/>
    <w:next w:val="Normal"/>
    <w:link w:val="Heading8Char"/>
    <w:uiPriority w:val="9"/>
    <w:semiHidden/>
    <w:unhideWhenUsed/>
    <w:qFormat/>
    <w:rsid w:val="00EF77E9"/>
    <w:pPr>
      <w:keepNext/>
      <w:keepLines/>
      <w:outlineLvl w:val="7"/>
    </w:pPr>
    <w:rPr>
      <w:rFonts w:asciiTheme="minorHAnsi" w:eastAsiaTheme="majorEastAsia" w:hAnsiTheme="minorHAnsi" w:cstheme="majorBidi"/>
      <w:i/>
      <w:iCs/>
      <w:color w:val="272727" w:themeColor="text1" w:themeTint="D8"/>
      <w:kern w:val="2"/>
      <w:lang w:eastAsia="en-US"/>
    </w:rPr>
  </w:style>
  <w:style w:type="paragraph" w:styleId="Heading9">
    <w:name w:val="heading 9"/>
    <w:basedOn w:val="Normal"/>
    <w:next w:val="Normal"/>
    <w:link w:val="Heading9Char"/>
    <w:uiPriority w:val="9"/>
    <w:semiHidden/>
    <w:unhideWhenUsed/>
    <w:qFormat/>
    <w:rsid w:val="00EF77E9"/>
    <w:pPr>
      <w:keepNext/>
      <w:keepLines/>
      <w:outlineLvl w:val="8"/>
    </w:pPr>
    <w:rPr>
      <w:rFonts w:asciiTheme="minorHAnsi" w:eastAsiaTheme="majorEastAsia" w:hAnsiTheme="minorHAnsi" w:cstheme="majorBidi"/>
      <w:color w:val="272727" w:themeColor="text1" w:themeTint="D8"/>
      <w:kern w:val="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77E9"/>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Heading1Char">
    <w:name w:val="Heading 1 Char"/>
    <w:aliases w:val="VIALET Heading 1 Char"/>
    <w:basedOn w:val="DefaultParagraphFont"/>
    <w:link w:val="Heading1"/>
    <w:uiPriority w:val="9"/>
    <w:rsid w:val="0000396D"/>
    <w:rPr>
      <w:rFonts w:ascii="TTCommons-Regular" w:eastAsiaTheme="majorEastAsia" w:hAnsi="TTCommons-Regular" w:cstheme="majorBidi"/>
      <w:b/>
      <w:szCs w:val="40"/>
    </w:rPr>
  </w:style>
  <w:style w:type="character" w:customStyle="1" w:styleId="Heading2Char">
    <w:name w:val="Heading 2 Char"/>
    <w:aliases w:val="Vialet Heading 2 Char"/>
    <w:basedOn w:val="DefaultParagraphFont"/>
    <w:link w:val="Heading2"/>
    <w:uiPriority w:val="9"/>
    <w:rsid w:val="005045E2"/>
    <w:rPr>
      <w:rFonts w:ascii="TTCommons-Regular" w:eastAsiaTheme="majorEastAsia" w:hAnsi="TTCommons-Regular" w:cstheme="majorBidi"/>
      <w:b/>
      <w:sz w:val="20"/>
      <w:szCs w:val="32"/>
    </w:rPr>
  </w:style>
  <w:style w:type="character" w:customStyle="1" w:styleId="Heading3Char">
    <w:name w:val="Heading 3 Char"/>
    <w:basedOn w:val="DefaultParagraphFont"/>
    <w:link w:val="Heading3"/>
    <w:uiPriority w:val="9"/>
    <w:semiHidden/>
    <w:rsid w:val="00EF77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7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7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7E9"/>
    <w:rPr>
      <w:rFonts w:eastAsiaTheme="majorEastAsia" w:cstheme="majorBidi"/>
      <w:color w:val="272727" w:themeColor="text1" w:themeTint="D8"/>
    </w:rPr>
  </w:style>
  <w:style w:type="character" w:customStyle="1" w:styleId="TitleChar">
    <w:name w:val="Title Char"/>
    <w:basedOn w:val="DefaultParagraphFont"/>
    <w:link w:val="Title"/>
    <w:uiPriority w:val="10"/>
    <w:rsid w:val="00EF7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EF7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7E9"/>
    <w:pPr>
      <w:spacing w:before="160"/>
      <w:jc w:val="center"/>
    </w:pPr>
    <w:rPr>
      <w:rFonts w:asciiTheme="minorHAnsi" w:eastAsiaTheme="minorHAnsi" w:hAnsiTheme="minorHAnsi" w:cstheme="minorBidi"/>
      <w:i/>
      <w:iCs/>
      <w:color w:val="404040" w:themeColor="text1" w:themeTint="BF"/>
      <w:kern w:val="2"/>
      <w:lang w:eastAsia="en-US"/>
    </w:rPr>
  </w:style>
  <w:style w:type="character" w:customStyle="1" w:styleId="QuoteChar">
    <w:name w:val="Quote Char"/>
    <w:basedOn w:val="DefaultParagraphFont"/>
    <w:link w:val="Quote"/>
    <w:uiPriority w:val="29"/>
    <w:rsid w:val="00EF77E9"/>
    <w:rPr>
      <w:i/>
      <w:iCs/>
      <w:color w:val="404040" w:themeColor="text1" w:themeTint="BF"/>
    </w:rPr>
  </w:style>
  <w:style w:type="paragraph" w:styleId="ListParagraph">
    <w:name w:val="List Paragraph"/>
    <w:aliases w:val="Punklista"/>
    <w:basedOn w:val="Normal"/>
    <w:link w:val="ListParagraphChar"/>
    <w:uiPriority w:val="34"/>
    <w:qFormat/>
    <w:rsid w:val="0000396D"/>
    <w:pPr>
      <w:ind w:left="720"/>
      <w:contextualSpacing/>
    </w:pPr>
    <w:rPr>
      <w:rFonts w:eastAsiaTheme="minorHAnsi" w:cstheme="minorBidi"/>
      <w:kern w:val="2"/>
      <w:lang w:eastAsia="en-US"/>
    </w:rPr>
  </w:style>
  <w:style w:type="character" w:styleId="IntenseEmphasis">
    <w:name w:val="Intense Emphasis"/>
    <w:basedOn w:val="DefaultParagraphFont"/>
    <w:uiPriority w:val="21"/>
    <w:qFormat/>
    <w:rsid w:val="00EF77E9"/>
    <w:rPr>
      <w:i/>
      <w:iCs/>
      <w:color w:val="0F4761" w:themeColor="accent1" w:themeShade="BF"/>
    </w:rPr>
  </w:style>
  <w:style w:type="paragraph" w:styleId="IntenseQuote">
    <w:name w:val="Intense Quote"/>
    <w:basedOn w:val="Normal"/>
    <w:next w:val="Normal"/>
    <w:link w:val="IntenseQuoteChar"/>
    <w:uiPriority w:val="30"/>
    <w:qFormat/>
    <w:rsid w:val="00EF77E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IntenseQuoteChar">
    <w:name w:val="Intense Quote Char"/>
    <w:basedOn w:val="DefaultParagraphFont"/>
    <w:link w:val="IntenseQuote"/>
    <w:uiPriority w:val="30"/>
    <w:rsid w:val="00EF77E9"/>
    <w:rPr>
      <w:i/>
      <w:iCs/>
      <w:color w:val="0F4761" w:themeColor="accent1" w:themeShade="BF"/>
    </w:rPr>
  </w:style>
  <w:style w:type="character" w:styleId="IntenseReference">
    <w:name w:val="Intense Reference"/>
    <w:basedOn w:val="DefaultParagraphFont"/>
    <w:uiPriority w:val="32"/>
    <w:qFormat/>
    <w:rsid w:val="00EF77E9"/>
    <w:rPr>
      <w:b/>
      <w:bCs/>
      <w:smallCaps/>
      <w:color w:val="0F4761" w:themeColor="accent1" w:themeShade="BF"/>
      <w:spacing w:val="5"/>
    </w:rPr>
  </w:style>
  <w:style w:type="paragraph" w:styleId="Header">
    <w:name w:val="header"/>
    <w:basedOn w:val="Normal"/>
    <w:link w:val="HeaderChar"/>
    <w:uiPriority w:val="99"/>
    <w:unhideWhenUsed/>
    <w:rsid w:val="00507EC2"/>
    <w:pPr>
      <w:tabs>
        <w:tab w:val="center" w:pos="4513"/>
        <w:tab w:val="right" w:pos="9026"/>
      </w:tabs>
    </w:pPr>
  </w:style>
  <w:style w:type="character" w:customStyle="1" w:styleId="HeaderChar">
    <w:name w:val="Header Char"/>
    <w:basedOn w:val="DefaultParagraphFont"/>
    <w:link w:val="Header"/>
    <w:uiPriority w:val="99"/>
    <w:rsid w:val="00507EC2"/>
    <w:rPr>
      <w:rFonts w:ascii="TTCommons-Regular" w:eastAsia="TTCommons-Regular" w:hAnsi="TTCommons-Regular" w:cs="Times New Roman"/>
      <w:kern w:val="0"/>
      <w:lang w:val="en-US" w:eastAsia="en-GB"/>
    </w:rPr>
  </w:style>
  <w:style w:type="paragraph" w:styleId="Footer">
    <w:name w:val="footer"/>
    <w:basedOn w:val="Normal"/>
    <w:link w:val="FooterChar"/>
    <w:uiPriority w:val="99"/>
    <w:unhideWhenUsed/>
    <w:rsid w:val="00507EC2"/>
    <w:pPr>
      <w:tabs>
        <w:tab w:val="center" w:pos="4513"/>
        <w:tab w:val="right" w:pos="9026"/>
      </w:tabs>
    </w:pPr>
  </w:style>
  <w:style w:type="character" w:customStyle="1" w:styleId="FooterChar">
    <w:name w:val="Footer Char"/>
    <w:basedOn w:val="DefaultParagraphFont"/>
    <w:link w:val="Footer"/>
    <w:uiPriority w:val="99"/>
    <w:rsid w:val="00507EC2"/>
    <w:rPr>
      <w:rFonts w:ascii="TTCommons-Regular" w:eastAsia="TTCommons-Regular" w:hAnsi="TTCommons-Regular" w:cs="Times New Roman"/>
      <w:kern w:val="0"/>
      <w:lang w:val="en-US" w:eastAsia="en-GB"/>
    </w:rPr>
  </w:style>
  <w:style w:type="paragraph" w:styleId="TOCHeading">
    <w:name w:val="TOC Heading"/>
    <w:basedOn w:val="Heading1"/>
    <w:next w:val="Normal"/>
    <w:uiPriority w:val="39"/>
    <w:unhideWhenUsed/>
    <w:qFormat/>
    <w:rsid w:val="004F4C6E"/>
    <w:pPr>
      <w:spacing w:before="240" w:after="0" w:line="259" w:lineRule="auto"/>
      <w:outlineLvl w:val="9"/>
    </w:pPr>
    <w:rPr>
      <w:kern w:val="0"/>
      <w:sz w:val="32"/>
      <w:szCs w:val="32"/>
      <w:lang w:val="en-US"/>
    </w:rPr>
  </w:style>
  <w:style w:type="table" w:styleId="TableGrid">
    <w:name w:val="Table Grid"/>
    <w:basedOn w:val="TableNormal"/>
    <w:uiPriority w:val="39"/>
    <w:rsid w:val="004F4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638E"/>
    <w:rPr>
      <w:sz w:val="16"/>
      <w:szCs w:val="16"/>
    </w:rPr>
  </w:style>
  <w:style w:type="paragraph" w:styleId="CommentText">
    <w:name w:val="annotation text"/>
    <w:basedOn w:val="Normal"/>
    <w:link w:val="CommentTextChar"/>
    <w:uiPriority w:val="99"/>
    <w:unhideWhenUsed/>
    <w:rsid w:val="0023638E"/>
    <w:rPr>
      <w:sz w:val="20"/>
      <w:szCs w:val="20"/>
    </w:rPr>
  </w:style>
  <w:style w:type="character" w:customStyle="1" w:styleId="CommentTextChar">
    <w:name w:val="Comment Text Char"/>
    <w:basedOn w:val="DefaultParagraphFont"/>
    <w:link w:val="CommentText"/>
    <w:uiPriority w:val="99"/>
    <w:rsid w:val="0023638E"/>
    <w:rPr>
      <w:rFonts w:ascii="TTCommons-Regular" w:eastAsia="TTCommons-Regular" w:hAnsi="TTCommons-Regular" w:cs="Times New Roman"/>
      <w:kern w:val="0"/>
      <w:sz w:val="20"/>
      <w:szCs w:val="20"/>
      <w:lang w:eastAsia="en-GB"/>
    </w:rPr>
  </w:style>
  <w:style w:type="paragraph" w:styleId="CommentSubject">
    <w:name w:val="annotation subject"/>
    <w:basedOn w:val="CommentText"/>
    <w:next w:val="CommentText"/>
    <w:link w:val="CommentSubjectChar"/>
    <w:uiPriority w:val="99"/>
    <w:semiHidden/>
    <w:unhideWhenUsed/>
    <w:rsid w:val="0023638E"/>
    <w:rPr>
      <w:b/>
      <w:bCs/>
    </w:rPr>
  </w:style>
  <w:style w:type="character" w:customStyle="1" w:styleId="CommentSubjectChar">
    <w:name w:val="Comment Subject Char"/>
    <w:basedOn w:val="CommentTextChar"/>
    <w:link w:val="CommentSubject"/>
    <w:uiPriority w:val="99"/>
    <w:semiHidden/>
    <w:rsid w:val="0023638E"/>
    <w:rPr>
      <w:rFonts w:ascii="TTCommons-Regular" w:eastAsia="TTCommons-Regular" w:hAnsi="TTCommons-Regular" w:cs="Times New Roman"/>
      <w:b/>
      <w:bCs/>
      <w:kern w:val="0"/>
      <w:sz w:val="20"/>
      <w:szCs w:val="20"/>
      <w:lang w:eastAsia="en-GB"/>
    </w:rPr>
  </w:style>
  <w:style w:type="paragraph" w:styleId="TOC1">
    <w:name w:val="toc 1"/>
    <w:basedOn w:val="Normal"/>
    <w:next w:val="Normal"/>
    <w:autoRedefine/>
    <w:uiPriority w:val="39"/>
    <w:unhideWhenUsed/>
    <w:rsid w:val="00974192"/>
    <w:pPr>
      <w:spacing w:after="100"/>
    </w:pPr>
  </w:style>
  <w:style w:type="character" w:styleId="Hyperlink">
    <w:name w:val="Hyperlink"/>
    <w:basedOn w:val="DefaultParagraphFont"/>
    <w:uiPriority w:val="99"/>
    <w:unhideWhenUsed/>
    <w:rsid w:val="00974192"/>
    <w:rPr>
      <w:color w:val="467886" w:themeColor="hyperlink"/>
      <w:u w:val="single"/>
    </w:rPr>
  </w:style>
  <w:style w:type="character" w:styleId="UnresolvedMention">
    <w:name w:val="Unresolved Mention"/>
    <w:basedOn w:val="DefaultParagraphFont"/>
    <w:uiPriority w:val="99"/>
    <w:semiHidden/>
    <w:unhideWhenUsed/>
    <w:rsid w:val="00745F3A"/>
    <w:rPr>
      <w:color w:val="605E5C"/>
      <w:shd w:val="clear" w:color="auto" w:fill="E1DFDD"/>
    </w:rPr>
  </w:style>
  <w:style w:type="paragraph" w:styleId="TOC2">
    <w:name w:val="toc 2"/>
    <w:basedOn w:val="Normal"/>
    <w:next w:val="Normal"/>
    <w:autoRedefine/>
    <w:uiPriority w:val="39"/>
    <w:unhideWhenUsed/>
    <w:rsid w:val="002924F4"/>
    <w:pPr>
      <w:spacing w:after="100"/>
      <w:ind w:left="240"/>
    </w:pPr>
  </w:style>
  <w:style w:type="paragraph" w:styleId="NormalWeb">
    <w:name w:val="Normal (Web)"/>
    <w:basedOn w:val="Normal"/>
    <w:uiPriority w:val="99"/>
    <w:semiHidden/>
    <w:unhideWhenUsed/>
    <w:rsid w:val="00676F00"/>
    <w:rPr>
      <w:rFonts w:ascii="Times New Roman" w:hAnsi="Times New Roman"/>
    </w:rPr>
  </w:style>
  <w:style w:type="character" w:customStyle="1" w:styleId="ListParagraphChar">
    <w:name w:val="List Paragraph Char"/>
    <w:aliases w:val="Punklista Char"/>
    <w:basedOn w:val="DefaultParagraphFont"/>
    <w:link w:val="ListParagraph"/>
    <w:uiPriority w:val="72"/>
    <w:locked/>
    <w:rsid w:val="00B400BE"/>
    <w:rPr>
      <w:rFonts w:ascii="TTCommons-Regular" w:hAnsi="TTCommons-Regular"/>
    </w:rPr>
  </w:style>
  <w:style w:type="table" w:customStyle="1" w:styleId="TableGrid2">
    <w:name w:val="Table Grid2"/>
    <w:basedOn w:val="TableNormal"/>
    <w:next w:val="TableGrid"/>
    <w:uiPriority w:val="39"/>
    <w:rsid w:val="00E81BD9"/>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626B"/>
    <w:pPr>
      <w:spacing w:after="200" w:line="240" w:lineRule="auto"/>
    </w:pPr>
    <w:rPr>
      <w:i/>
      <w:iCs/>
      <w:color w:val="0E2841" w:themeColor="text2"/>
      <w:sz w:val="18"/>
      <w:szCs w:val="18"/>
    </w:r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pPr>
      <w:spacing w:after="0" w:line="240" w:lineRule="auto"/>
    </w:pPr>
    <w:rPr>
      <w:sz w:val="22"/>
      <w:szCs w:val="22"/>
    </w:rPr>
    <w:tblPr>
      <w:tblStyleRowBandSize w:val="1"/>
      <w:tblStyleColBandSize w:val="1"/>
    </w:tblPr>
  </w:style>
  <w:style w:type="table" w:customStyle="1" w:styleId="13">
    <w:name w:val="13"/>
    <w:basedOn w:val="TableNormal"/>
    <w:pPr>
      <w:spacing w:after="0" w:line="240" w:lineRule="auto"/>
    </w:pPr>
    <w:rPr>
      <w:sz w:val="22"/>
      <w:szCs w:val="22"/>
    </w:rPr>
    <w:tblPr>
      <w:tblStyleRowBandSize w:val="1"/>
      <w:tblStyleColBandSize w:val="1"/>
    </w:tblPr>
  </w:style>
  <w:style w:type="table" w:customStyle="1" w:styleId="12">
    <w:name w:val="12"/>
    <w:basedOn w:val="TableNormal"/>
    <w:pPr>
      <w:spacing w:after="0" w:line="240" w:lineRule="auto"/>
    </w:pPr>
    <w:rPr>
      <w:sz w:val="22"/>
      <w:szCs w:val="22"/>
    </w:rPr>
    <w:tblPr>
      <w:tblStyleRowBandSize w:val="1"/>
      <w:tblStyleColBandSize w:val="1"/>
    </w:tblPr>
  </w:style>
  <w:style w:type="table" w:customStyle="1" w:styleId="11">
    <w:name w:val="11"/>
    <w:basedOn w:val="TableNormal"/>
    <w:pPr>
      <w:spacing w:after="0" w:line="240" w:lineRule="auto"/>
    </w:pPr>
    <w:rPr>
      <w:sz w:val="22"/>
      <w:szCs w:val="22"/>
    </w:rPr>
    <w:tblPr>
      <w:tblStyleRowBandSize w:val="1"/>
      <w:tblStyleColBandSize w:val="1"/>
    </w:tblPr>
  </w:style>
  <w:style w:type="table" w:customStyle="1" w:styleId="10">
    <w:name w:val="10"/>
    <w:basedOn w:val="TableNormal"/>
    <w:pPr>
      <w:spacing w:after="0" w:line="240" w:lineRule="auto"/>
    </w:pPr>
    <w:rPr>
      <w:sz w:val="22"/>
      <w:szCs w:val="22"/>
    </w:rPr>
    <w:tblPr>
      <w:tblStyleRowBandSize w:val="1"/>
      <w:tblStyleColBandSize w:val="1"/>
    </w:tblPr>
  </w:style>
  <w:style w:type="table" w:customStyle="1" w:styleId="9">
    <w:name w:val="9"/>
    <w:basedOn w:val="TableNormal"/>
    <w:pPr>
      <w:spacing w:after="0" w:line="240" w:lineRule="auto"/>
    </w:pPr>
    <w:rPr>
      <w:sz w:val="22"/>
      <w:szCs w:val="22"/>
    </w:rPr>
    <w:tblPr>
      <w:tblStyleRowBandSize w:val="1"/>
      <w:tblStyleColBandSize w:val="1"/>
    </w:tblPr>
  </w:style>
  <w:style w:type="table" w:customStyle="1" w:styleId="8">
    <w:name w:val="8"/>
    <w:basedOn w:val="TableNormal"/>
    <w:pPr>
      <w:spacing w:after="0" w:line="240" w:lineRule="auto"/>
    </w:pPr>
    <w:rPr>
      <w:sz w:val="22"/>
      <w:szCs w:val="22"/>
    </w:rPr>
    <w:tblPr>
      <w:tblStyleRowBandSize w:val="1"/>
      <w:tblStyleColBandSize w:val="1"/>
    </w:tblPr>
  </w:style>
  <w:style w:type="table" w:customStyle="1" w:styleId="7">
    <w:name w:val="7"/>
    <w:basedOn w:val="TableNormal"/>
    <w:pPr>
      <w:spacing w:after="0" w:line="240" w:lineRule="auto"/>
    </w:pPr>
    <w:rPr>
      <w:sz w:val="22"/>
      <w:szCs w:val="22"/>
    </w:rPr>
    <w:tblPr>
      <w:tblStyleRowBandSize w:val="1"/>
      <w:tblStyleColBandSize w:val="1"/>
    </w:tblPr>
  </w:style>
  <w:style w:type="table" w:customStyle="1" w:styleId="6">
    <w:name w:val="6"/>
    <w:basedOn w:val="TableNormal"/>
    <w:pPr>
      <w:spacing w:after="0" w:line="240" w:lineRule="auto"/>
    </w:pPr>
    <w:rPr>
      <w:sz w:val="22"/>
      <w:szCs w:val="22"/>
    </w:rPr>
    <w:tblPr>
      <w:tblStyleRowBandSize w:val="1"/>
      <w:tblStyleColBandSize w:val="1"/>
    </w:tblPr>
  </w:style>
  <w:style w:type="table" w:customStyle="1" w:styleId="5">
    <w:name w:val="5"/>
    <w:basedOn w:val="TableNormal"/>
    <w:pPr>
      <w:spacing w:after="0" w:line="240" w:lineRule="auto"/>
    </w:pPr>
    <w:rPr>
      <w:sz w:val="22"/>
      <w:szCs w:val="22"/>
    </w:rPr>
    <w:tblPr>
      <w:tblStyleRowBandSize w:val="1"/>
      <w:tblStyleColBandSize w:val="1"/>
    </w:tblPr>
  </w:style>
  <w:style w:type="table" w:customStyle="1" w:styleId="4">
    <w:name w:val="4"/>
    <w:basedOn w:val="TableNormal"/>
    <w:pPr>
      <w:spacing w:after="0" w:line="240" w:lineRule="auto"/>
    </w:pPr>
    <w:rPr>
      <w:sz w:val="22"/>
      <w:szCs w:val="22"/>
    </w:rPr>
    <w:tblPr>
      <w:tblStyleRowBandSize w:val="1"/>
      <w:tblStyleColBandSize w:val="1"/>
    </w:tblPr>
  </w:style>
  <w:style w:type="table" w:customStyle="1" w:styleId="3">
    <w:name w:val="3"/>
    <w:basedOn w:val="TableNormal"/>
    <w:pPr>
      <w:spacing w:after="0" w:line="240" w:lineRule="auto"/>
    </w:pPr>
    <w:rPr>
      <w:sz w:val="22"/>
      <w:szCs w:val="22"/>
    </w:rPr>
    <w:tblPr>
      <w:tblStyleRowBandSize w:val="1"/>
      <w:tblStyleColBandSize w:val="1"/>
    </w:tblPr>
  </w:style>
  <w:style w:type="table" w:customStyle="1" w:styleId="2">
    <w:name w:val="2"/>
    <w:basedOn w:val="TableNormal"/>
    <w:pPr>
      <w:spacing w:after="0" w:line="240" w:lineRule="auto"/>
    </w:pPr>
    <w:rPr>
      <w:sz w:val="22"/>
      <w:szCs w:val="22"/>
    </w:rPr>
    <w:tblPr>
      <w:tblStyleRowBandSize w:val="1"/>
      <w:tblStyleColBandSize w:val="1"/>
    </w:tblPr>
  </w:style>
  <w:style w:type="table" w:customStyle="1" w:styleId="1">
    <w:name w:val="1"/>
    <w:basedOn w:val="TableNormal"/>
    <w:pPr>
      <w:spacing w:after="0" w:line="240" w:lineRule="auto"/>
    </w:pPr>
    <w:rPr>
      <w:sz w:val="22"/>
      <w:szCs w:val="22"/>
    </w:rPr>
    <w:tblPr>
      <w:tblStyleRowBandSize w:val="1"/>
      <w:tblStyleColBandSize w:val="1"/>
    </w:tblPr>
  </w:style>
  <w:style w:type="paragraph" w:styleId="EndnoteText">
    <w:name w:val="endnote text"/>
    <w:basedOn w:val="Normal"/>
    <w:link w:val="EndnoteTextChar"/>
    <w:uiPriority w:val="99"/>
    <w:semiHidden/>
    <w:unhideWhenUsed/>
    <w:rsid w:val="00585F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5FE3"/>
    <w:rPr>
      <w:rFonts w:cs="Times New Roman"/>
      <w:sz w:val="20"/>
      <w:szCs w:val="20"/>
      <w:lang w:eastAsia="en-GB"/>
    </w:rPr>
  </w:style>
  <w:style w:type="character" w:styleId="EndnoteReference">
    <w:name w:val="endnote reference"/>
    <w:basedOn w:val="DefaultParagraphFont"/>
    <w:uiPriority w:val="99"/>
    <w:semiHidden/>
    <w:unhideWhenUsed/>
    <w:rsid w:val="00585FE3"/>
    <w:rPr>
      <w:vertAlign w:val="superscript"/>
    </w:rPr>
  </w:style>
  <w:style w:type="paragraph" w:styleId="FootnoteText">
    <w:name w:val="footnote text"/>
    <w:basedOn w:val="Normal"/>
    <w:link w:val="FootnoteTextChar"/>
    <w:uiPriority w:val="99"/>
    <w:semiHidden/>
    <w:unhideWhenUsed/>
    <w:rsid w:val="00585F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5FE3"/>
    <w:rPr>
      <w:rFonts w:cs="Times New Roman"/>
      <w:sz w:val="20"/>
      <w:szCs w:val="20"/>
      <w:lang w:eastAsia="en-GB"/>
    </w:rPr>
  </w:style>
  <w:style w:type="character" w:styleId="FootnoteReference">
    <w:name w:val="footnote reference"/>
    <w:basedOn w:val="DefaultParagraphFont"/>
    <w:uiPriority w:val="99"/>
    <w:semiHidden/>
    <w:unhideWhenUsed/>
    <w:rsid w:val="00585FE3"/>
    <w:rPr>
      <w:vertAlign w:val="superscript"/>
    </w:rPr>
  </w:style>
  <w:style w:type="character" w:styleId="FollowedHyperlink">
    <w:name w:val="FollowedHyperlink"/>
    <w:basedOn w:val="DefaultParagraphFont"/>
    <w:uiPriority w:val="99"/>
    <w:semiHidden/>
    <w:unhideWhenUsed/>
    <w:rsid w:val="004901F1"/>
    <w:rPr>
      <w:color w:val="96607D" w:themeColor="followedHyperlink"/>
      <w:u w:val="single"/>
    </w:rPr>
  </w:style>
  <w:style w:type="table" w:styleId="ListTable2">
    <w:name w:val="List Table 2"/>
    <w:basedOn w:val="TableNormal"/>
    <w:uiPriority w:val="47"/>
    <w:rsid w:val="002E6F2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2E6F2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6">
    <w:name w:val="List Table 2 Accent 6"/>
    <w:basedOn w:val="TableNormal"/>
    <w:uiPriority w:val="47"/>
    <w:rsid w:val="00CD19CF"/>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6Colorful-Accent6">
    <w:name w:val="List Table 6 Colorful Accent 6"/>
    <w:basedOn w:val="TableNormal"/>
    <w:uiPriority w:val="51"/>
    <w:rsid w:val="00CD19CF"/>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1Light-Accent6">
    <w:name w:val="Grid Table 1 Light Accent 6"/>
    <w:basedOn w:val="TableNormal"/>
    <w:uiPriority w:val="46"/>
    <w:rsid w:val="00CD19CF"/>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CD19CF"/>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2-Accent3">
    <w:name w:val="Grid Table 2 Accent 3"/>
    <w:basedOn w:val="TableNormal"/>
    <w:uiPriority w:val="47"/>
    <w:rsid w:val="00E73ED6"/>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3">
    <w:name w:val="List Table 1 Light Accent 3"/>
    <w:basedOn w:val="TableNormal"/>
    <w:uiPriority w:val="46"/>
    <w:rsid w:val="00E73ED6"/>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A0332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17003">
      <w:bodyDiv w:val="1"/>
      <w:marLeft w:val="0"/>
      <w:marRight w:val="0"/>
      <w:marTop w:val="0"/>
      <w:marBottom w:val="0"/>
      <w:divBdr>
        <w:top w:val="none" w:sz="0" w:space="0" w:color="auto"/>
        <w:left w:val="none" w:sz="0" w:space="0" w:color="auto"/>
        <w:bottom w:val="none" w:sz="0" w:space="0" w:color="auto"/>
        <w:right w:val="none" w:sz="0" w:space="0" w:color="auto"/>
      </w:divBdr>
    </w:div>
    <w:div w:id="84347316">
      <w:bodyDiv w:val="1"/>
      <w:marLeft w:val="0"/>
      <w:marRight w:val="0"/>
      <w:marTop w:val="0"/>
      <w:marBottom w:val="0"/>
      <w:divBdr>
        <w:top w:val="none" w:sz="0" w:space="0" w:color="auto"/>
        <w:left w:val="none" w:sz="0" w:space="0" w:color="auto"/>
        <w:bottom w:val="none" w:sz="0" w:space="0" w:color="auto"/>
        <w:right w:val="none" w:sz="0" w:space="0" w:color="auto"/>
      </w:divBdr>
    </w:div>
    <w:div w:id="120926842">
      <w:bodyDiv w:val="1"/>
      <w:marLeft w:val="0"/>
      <w:marRight w:val="0"/>
      <w:marTop w:val="0"/>
      <w:marBottom w:val="0"/>
      <w:divBdr>
        <w:top w:val="none" w:sz="0" w:space="0" w:color="auto"/>
        <w:left w:val="none" w:sz="0" w:space="0" w:color="auto"/>
        <w:bottom w:val="none" w:sz="0" w:space="0" w:color="auto"/>
        <w:right w:val="none" w:sz="0" w:space="0" w:color="auto"/>
      </w:divBdr>
    </w:div>
    <w:div w:id="133760909">
      <w:bodyDiv w:val="1"/>
      <w:marLeft w:val="0"/>
      <w:marRight w:val="0"/>
      <w:marTop w:val="0"/>
      <w:marBottom w:val="0"/>
      <w:divBdr>
        <w:top w:val="none" w:sz="0" w:space="0" w:color="auto"/>
        <w:left w:val="none" w:sz="0" w:space="0" w:color="auto"/>
        <w:bottom w:val="none" w:sz="0" w:space="0" w:color="auto"/>
        <w:right w:val="none" w:sz="0" w:space="0" w:color="auto"/>
      </w:divBdr>
    </w:div>
    <w:div w:id="272521513">
      <w:bodyDiv w:val="1"/>
      <w:marLeft w:val="0"/>
      <w:marRight w:val="0"/>
      <w:marTop w:val="0"/>
      <w:marBottom w:val="0"/>
      <w:divBdr>
        <w:top w:val="none" w:sz="0" w:space="0" w:color="auto"/>
        <w:left w:val="none" w:sz="0" w:space="0" w:color="auto"/>
        <w:bottom w:val="none" w:sz="0" w:space="0" w:color="auto"/>
        <w:right w:val="none" w:sz="0" w:space="0" w:color="auto"/>
      </w:divBdr>
    </w:div>
    <w:div w:id="334040022">
      <w:bodyDiv w:val="1"/>
      <w:marLeft w:val="0"/>
      <w:marRight w:val="0"/>
      <w:marTop w:val="0"/>
      <w:marBottom w:val="0"/>
      <w:divBdr>
        <w:top w:val="none" w:sz="0" w:space="0" w:color="auto"/>
        <w:left w:val="none" w:sz="0" w:space="0" w:color="auto"/>
        <w:bottom w:val="none" w:sz="0" w:space="0" w:color="auto"/>
        <w:right w:val="none" w:sz="0" w:space="0" w:color="auto"/>
      </w:divBdr>
      <w:divsChild>
        <w:div w:id="74252932">
          <w:marLeft w:val="0"/>
          <w:marRight w:val="0"/>
          <w:marTop w:val="0"/>
          <w:marBottom w:val="0"/>
          <w:divBdr>
            <w:top w:val="none" w:sz="0" w:space="0" w:color="auto"/>
            <w:left w:val="none" w:sz="0" w:space="0" w:color="auto"/>
            <w:bottom w:val="none" w:sz="0" w:space="0" w:color="auto"/>
            <w:right w:val="none" w:sz="0" w:space="0" w:color="auto"/>
          </w:divBdr>
          <w:divsChild>
            <w:div w:id="952858125">
              <w:marLeft w:val="0"/>
              <w:marRight w:val="0"/>
              <w:marTop w:val="0"/>
              <w:marBottom w:val="0"/>
              <w:divBdr>
                <w:top w:val="none" w:sz="0" w:space="0" w:color="auto"/>
                <w:left w:val="none" w:sz="0" w:space="0" w:color="auto"/>
                <w:bottom w:val="none" w:sz="0" w:space="0" w:color="auto"/>
                <w:right w:val="none" w:sz="0" w:space="0" w:color="auto"/>
              </w:divBdr>
              <w:divsChild>
                <w:div w:id="1505625834">
                  <w:marLeft w:val="0"/>
                  <w:marRight w:val="0"/>
                  <w:marTop w:val="0"/>
                  <w:marBottom w:val="0"/>
                  <w:divBdr>
                    <w:top w:val="none" w:sz="0" w:space="0" w:color="auto"/>
                    <w:left w:val="none" w:sz="0" w:space="0" w:color="auto"/>
                    <w:bottom w:val="none" w:sz="0" w:space="0" w:color="auto"/>
                    <w:right w:val="none" w:sz="0" w:space="0" w:color="auto"/>
                  </w:divBdr>
                  <w:divsChild>
                    <w:div w:id="1054039753">
                      <w:marLeft w:val="0"/>
                      <w:marRight w:val="0"/>
                      <w:marTop w:val="0"/>
                      <w:marBottom w:val="0"/>
                      <w:divBdr>
                        <w:top w:val="none" w:sz="0" w:space="0" w:color="auto"/>
                        <w:left w:val="none" w:sz="0" w:space="0" w:color="auto"/>
                        <w:bottom w:val="none" w:sz="0" w:space="0" w:color="auto"/>
                        <w:right w:val="none" w:sz="0" w:space="0" w:color="auto"/>
                      </w:divBdr>
                      <w:divsChild>
                        <w:div w:id="2069373082">
                          <w:marLeft w:val="0"/>
                          <w:marRight w:val="0"/>
                          <w:marTop w:val="0"/>
                          <w:marBottom w:val="0"/>
                          <w:divBdr>
                            <w:top w:val="none" w:sz="0" w:space="0" w:color="auto"/>
                            <w:left w:val="none" w:sz="0" w:space="0" w:color="auto"/>
                            <w:bottom w:val="none" w:sz="0" w:space="0" w:color="auto"/>
                            <w:right w:val="none" w:sz="0" w:space="0" w:color="auto"/>
                          </w:divBdr>
                          <w:divsChild>
                            <w:div w:id="12935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055">
      <w:bodyDiv w:val="1"/>
      <w:marLeft w:val="0"/>
      <w:marRight w:val="0"/>
      <w:marTop w:val="0"/>
      <w:marBottom w:val="0"/>
      <w:divBdr>
        <w:top w:val="none" w:sz="0" w:space="0" w:color="auto"/>
        <w:left w:val="none" w:sz="0" w:space="0" w:color="auto"/>
        <w:bottom w:val="none" w:sz="0" w:space="0" w:color="auto"/>
        <w:right w:val="none" w:sz="0" w:space="0" w:color="auto"/>
      </w:divBdr>
      <w:divsChild>
        <w:div w:id="602150007">
          <w:marLeft w:val="0"/>
          <w:marRight w:val="0"/>
          <w:marTop w:val="0"/>
          <w:marBottom w:val="0"/>
          <w:divBdr>
            <w:top w:val="none" w:sz="0" w:space="0" w:color="auto"/>
            <w:left w:val="none" w:sz="0" w:space="0" w:color="auto"/>
            <w:bottom w:val="none" w:sz="0" w:space="0" w:color="auto"/>
            <w:right w:val="none" w:sz="0" w:space="0" w:color="auto"/>
          </w:divBdr>
          <w:divsChild>
            <w:div w:id="610935081">
              <w:marLeft w:val="0"/>
              <w:marRight w:val="0"/>
              <w:marTop w:val="0"/>
              <w:marBottom w:val="0"/>
              <w:divBdr>
                <w:top w:val="none" w:sz="0" w:space="0" w:color="auto"/>
                <w:left w:val="none" w:sz="0" w:space="0" w:color="auto"/>
                <w:bottom w:val="none" w:sz="0" w:space="0" w:color="auto"/>
                <w:right w:val="none" w:sz="0" w:space="0" w:color="auto"/>
              </w:divBdr>
              <w:divsChild>
                <w:div w:id="1476217732">
                  <w:marLeft w:val="0"/>
                  <w:marRight w:val="0"/>
                  <w:marTop w:val="0"/>
                  <w:marBottom w:val="0"/>
                  <w:divBdr>
                    <w:top w:val="none" w:sz="0" w:space="0" w:color="auto"/>
                    <w:left w:val="none" w:sz="0" w:space="0" w:color="auto"/>
                    <w:bottom w:val="none" w:sz="0" w:space="0" w:color="auto"/>
                    <w:right w:val="none" w:sz="0" w:space="0" w:color="auto"/>
                  </w:divBdr>
                  <w:divsChild>
                    <w:div w:id="454838199">
                      <w:marLeft w:val="0"/>
                      <w:marRight w:val="0"/>
                      <w:marTop w:val="0"/>
                      <w:marBottom w:val="0"/>
                      <w:divBdr>
                        <w:top w:val="none" w:sz="0" w:space="0" w:color="auto"/>
                        <w:left w:val="none" w:sz="0" w:space="0" w:color="auto"/>
                        <w:bottom w:val="none" w:sz="0" w:space="0" w:color="auto"/>
                        <w:right w:val="none" w:sz="0" w:space="0" w:color="auto"/>
                      </w:divBdr>
                      <w:divsChild>
                        <w:div w:id="1479297503">
                          <w:marLeft w:val="0"/>
                          <w:marRight w:val="0"/>
                          <w:marTop w:val="0"/>
                          <w:marBottom w:val="0"/>
                          <w:divBdr>
                            <w:top w:val="none" w:sz="0" w:space="0" w:color="auto"/>
                            <w:left w:val="none" w:sz="0" w:space="0" w:color="auto"/>
                            <w:bottom w:val="none" w:sz="0" w:space="0" w:color="auto"/>
                            <w:right w:val="none" w:sz="0" w:space="0" w:color="auto"/>
                          </w:divBdr>
                          <w:divsChild>
                            <w:div w:id="16020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265784">
      <w:bodyDiv w:val="1"/>
      <w:marLeft w:val="0"/>
      <w:marRight w:val="0"/>
      <w:marTop w:val="0"/>
      <w:marBottom w:val="0"/>
      <w:divBdr>
        <w:top w:val="none" w:sz="0" w:space="0" w:color="auto"/>
        <w:left w:val="none" w:sz="0" w:space="0" w:color="auto"/>
        <w:bottom w:val="none" w:sz="0" w:space="0" w:color="auto"/>
        <w:right w:val="none" w:sz="0" w:space="0" w:color="auto"/>
      </w:divBdr>
      <w:divsChild>
        <w:div w:id="917056969">
          <w:marLeft w:val="0"/>
          <w:marRight w:val="0"/>
          <w:marTop w:val="0"/>
          <w:marBottom w:val="0"/>
          <w:divBdr>
            <w:top w:val="none" w:sz="0" w:space="0" w:color="auto"/>
            <w:left w:val="none" w:sz="0" w:space="0" w:color="auto"/>
            <w:bottom w:val="none" w:sz="0" w:space="0" w:color="auto"/>
            <w:right w:val="none" w:sz="0" w:space="0" w:color="auto"/>
          </w:divBdr>
          <w:divsChild>
            <w:div w:id="634020862">
              <w:marLeft w:val="0"/>
              <w:marRight w:val="0"/>
              <w:marTop w:val="0"/>
              <w:marBottom w:val="0"/>
              <w:divBdr>
                <w:top w:val="none" w:sz="0" w:space="0" w:color="auto"/>
                <w:left w:val="none" w:sz="0" w:space="0" w:color="auto"/>
                <w:bottom w:val="none" w:sz="0" w:space="0" w:color="auto"/>
                <w:right w:val="none" w:sz="0" w:space="0" w:color="auto"/>
              </w:divBdr>
              <w:divsChild>
                <w:div w:id="751241179">
                  <w:marLeft w:val="0"/>
                  <w:marRight w:val="0"/>
                  <w:marTop w:val="0"/>
                  <w:marBottom w:val="0"/>
                  <w:divBdr>
                    <w:top w:val="none" w:sz="0" w:space="0" w:color="auto"/>
                    <w:left w:val="none" w:sz="0" w:space="0" w:color="auto"/>
                    <w:bottom w:val="none" w:sz="0" w:space="0" w:color="auto"/>
                    <w:right w:val="none" w:sz="0" w:space="0" w:color="auto"/>
                  </w:divBdr>
                  <w:divsChild>
                    <w:div w:id="33893800">
                      <w:marLeft w:val="0"/>
                      <w:marRight w:val="0"/>
                      <w:marTop w:val="0"/>
                      <w:marBottom w:val="0"/>
                      <w:divBdr>
                        <w:top w:val="none" w:sz="0" w:space="0" w:color="auto"/>
                        <w:left w:val="none" w:sz="0" w:space="0" w:color="auto"/>
                        <w:bottom w:val="none" w:sz="0" w:space="0" w:color="auto"/>
                        <w:right w:val="none" w:sz="0" w:space="0" w:color="auto"/>
                      </w:divBdr>
                      <w:divsChild>
                        <w:div w:id="138544212">
                          <w:marLeft w:val="0"/>
                          <w:marRight w:val="0"/>
                          <w:marTop w:val="0"/>
                          <w:marBottom w:val="0"/>
                          <w:divBdr>
                            <w:top w:val="none" w:sz="0" w:space="0" w:color="auto"/>
                            <w:left w:val="none" w:sz="0" w:space="0" w:color="auto"/>
                            <w:bottom w:val="none" w:sz="0" w:space="0" w:color="auto"/>
                            <w:right w:val="none" w:sz="0" w:space="0" w:color="auto"/>
                          </w:divBdr>
                          <w:divsChild>
                            <w:div w:id="3377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692631">
                  <w:marLeft w:val="0"/>
                  <w:marRight w:val="0"/>
                  <w:marTop w:val="0"/>
                  <w:marBottom w:val="0"/>
                  <w:divBdr>
                    <w:top w:val="none" w:sz="0" w:space="0" w:color="auto"/>
                    <w:left w:val="none" w:sz="0" w:space="0" w:color="auto"/>
                    <w:bottom w:val="none" w:sz="0" w:space="0" w:color="auto"/>
                    <w:right w:val="none" w:sz="0" w:space="0" w:color="auto"/>
                  </w:divBdr>
                  <w:divsChild>
                    <w:div w:id="1945069891">
                      <w:marLeft w:val="0"/>
                      <w:marRight w:val="0"/>
                      <w:marTop w:val="0"/>
                      <w:marBottom w:val="0"/>
                      <w:divBdr>
                        <w:top w:val="none" w:sz="0" w:space="0" w:color="auto"/>
                        <w:left w:val="none" w:sz="0" w:space="0" w:color="auto"/>
                        <w:bottom w:val="none" w:sz="0" w:space="0" w:color="auto"/>
                        <w:right w:val="none" w:sz="0" w:space="0" w:color="auto"/>
                      </w:divBdr>
                      <w:divsChild>
                        <w:div w:id="1170019596">
                          <w:marLeft w:val="0"/>
                          <w:marRight w:val="0"/>
                          <w:marTop w:val="0"/>
                          <w:marBottom w:val="0"/>
                          <w:divBdr>
                            <w:top w:val="none" w:sz="0" w:space="0" w:color="auto"/>
                            <w:left w:val="none" w:sz="0" w:space="0" w:color="auto"/>
                            <w:bottom w:val="none" w:sz="0" w:space="0" w:color="auto"/>
                            <w:right w:val="none" w:sz="0" w:space="0" w:color="auto"/>
                          </w:divBdr>
                          <w:divsChild>
                            <w:div w:id="18135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611002">
      <w:bodyDiv w:val="1"/>
      <w:marLeft w:val="0"/>
      <w:marRight w:val="0"/>
      <w:marTop w:val="0"/>
      <w:marBottom w:val="0"/>
      <w:divBdr>
        <w:top w:val="none" w:sz="0" w:space="0" w:color="auto"/>
        <w:left w:val="none" w:sz="0" w:space="0" w:color="auto"/>
        <w:bottom w:val="none" w:sz="0" w:space="0" w:color="auto"/>
        <w:right w:val="none" w:sz="0" w:space="0" w:color="auto"/>
      </w:divBdr>
    </w:div>
    <w:div w:id="808594383">
      <w:bodyDiv w:val="1"/>
      <w:marLeft w:val="0"/>
      <w:marRight w:val="0"/>
      <w:marTop w:val="0"/>
      <w:marBottom w:val="0"/>
      <w:divBdr>
        <w:top w:val="none" w:sz="0" w:space="0" w:color="auto"/>
        <w:left w:val="none" w:sz="0" w:space="0" w:color="auto"/>
        <w:bottom w:val="none" w:sz="0" w:space="0" w:color="auto"/>
        <w:right w:val="none" w:sz="0" w:space="0" w:color="auto"/>
      </w:divBdr>
    </w:div>
    <w:div w:id="868107869">
      <w:bodyDiv w:val="1"/>
      <w:marLeft w:val="0"/>
      <w:marRight w:val="0"/>
      <w:marTop w:val="0"/>
      <w:marBottom w:val="0"/>
      <w:divBdr>
        <w:top w:val="none" w:sz="0" w:space="0" w:color="auto"/>
        <w:left w:val="none" w:sz="0" w:space="0" w:color="auto"/>
        <w:bottom w:val="none" w:sz="0" w:space="0" w:color="auto"/>
        <w:right w:val="none" w:sz="0" w:space="0" w:color="auto"/>
      </w:divBdr>
      <w:divsChild>
        <w:div w:id="1777171222">
          <w:marLeft w:val="0"/>
          <w:marRight w:val="0"/>
          <w:marTop w:val="0"/>
          <w:marBottom w:val="0"/>
          <w:divBdr>
            <w:top w:val="none" w:sz="0" w:space="0" w:color="auto"/>
            <w:left w:val="none" w:sz="0" w:space="0" w:color="auto"/>
            <w:bottom w:val="none" w:sz="0" w:space="0" w:color="auto"/>
            <w:right w:val="none" w:sz="0" w:space="0" w:color="auto"/>
          </w:divBdr>
          <w:divsChild>
            <w:div w:id="179127720">
              <w:marLeft w:val="0"/>
              <w:marRight w:val="0"/>
              <w:marTop w:val="0"/>
              <w:marBottom w:val="0"/>
              <w:divBdr>
                <w:top w:val="none" w:sz="0" w:space="0" w:color="auto"/>
                <w:left w:val="none" w:sz="0" w:space="0" w:color="auto"/>
                <w:bottom w:val="none" w:sz="0" w:space="0" w:color="auto"/>
                <w:right w:val="none" w:sz="0" w:space="0" w:color="auto"/>
              </w:divBdr>
              <w:divsChild>
                <w:div w:id="777942358">
                  <w:marLeft w:val="0"/>
                  <w:marRight w:val="0"/>
                  <w:marTop w:val="0"/>
                  <w:marBottom w:val="0"/>
                  <w:divBdr>
                    <w:top w:val="none" w:sz="0" w:space="0" w:color="auto"/>
                    <w:left w:val="none" w:sz="0" w:space="0" w:color="auto"/>
                    <w:bottom w:val="none" w:sz="0" w:space="0" w:color="auto"/>
                    <w:right w:val="none" w:sz="0" w:space="0" w:color="auto"/>
                  </w:divBdr>
                  <w:divsChild>
                    <w:div w:id="1512406249">
                      <w:marLeft w:val="0"/>
                      <w:marRight w:val="0"/>
                      <w:marTop w:val="0"/>
                      <w:marBottom w:val="0"/>
                      <w:divBdr>
                        <w:top w:val="none" w:sz="0" w:space="0" w:color="auto"/>
                        <w:left w:val="none" w:sz="0" w:space="0" w:color="auto"/>
                        <w:bottom w:val="none" w:sz="0" w:space="0" w:color="auto"/>
                        <w:right w:val="none" w:sz="0" w:space="0" w:color="auto"/>
                      </w:divBdr>
                      <w:divsChild>
                        <w:div w:id="527060212">
                          <w:marLeft w:val="0"/>
                          <w:marRight w:val="0"/>
                          <w:marTop w:val="0"/>
                          <w:marBottom w:val="0"/>
                          <w:divBdr>
                            <w:top w:val="none" w:sz="0" w:space="0" w:color="auto"/>
                            <w:left w:val="none" w:sz="0" w:space="0" w:color="auto"/>
                            <w:bottom w:val="none" w:sz="0" w:space="0" w:color="auto"/>
                            <w:right w:val="none" w:sz="0" w:space="0" w:color="auto"/>
                          </w:divBdr>
                          <w:divsChild>
                            <w:div w:id="198419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412998">
      <w:bodyDiv w:val="1"/>
      <w:marLeft w:val="0"/>
      <w:marRight w:val="0"/>
      <w:marTop w:val="0"/>
      <w:marBottom w:val="0"/>
      <w:divBdr>
        <w:top w:val="none" w:sz="0" w:space="0" w:color="auto"/>
        <w:left w:val="none" w:sz="0" w:space="0" w:color="auto"/>
        <w:bottom w:val="none" w:sz="0" w:space="0" w:color="auto"/>
        <w:right w:val="none" w:sz="0" w:space="0" w:color="auto"/>
      </w:divBdr>
    </w:div>
    <w:div w:id="1215240969">
      <w:bodyDiv w:val="1"/>
      <w:marLeft w:val="0"/>
      <w:marRight w:val="0"/>
      <w:marTop w:val="0"/>
      <w:marBottom w:val="0"/>
      <w:divBdr>
        <w:top w:val="none" w:sz="0" w:space="0" w:color="auto"/>
        <w:left w:val="none" w:sz="0" w:space="0" w:color="auto"/>
        <w:bottom w:val="none" w:sz="0" w:space="0" w:color="auto"/>
        <w:right w:val="none" w:sz="0" w:space="0" w:color="auto"/>
      </w:divBdr>
    </w:div>
    <w:div w:id="1350336021">
      <w:bodyDiv w:val="1"/>
      <w:marLeft w:val="0"/>
      <w:marRight w:val="0"/>
      <w:marTop w:val="0"/>
      <w:marBottom w:val="0"/>
      <w:divBdr>
        <w:top w:val="none" w:sz="0" w:space="0" w:color="auto"/>
        <w:left w:val="none" w:sz="0" w:space="0" w:color="auto"/>
        <w:bottom w:val="none" w:sz="0" w:space="0" w:color="auto"/>
        <w:right w:val="none" w:sz="0" w:space="0" w:color="auto"/>
      </w:divBdr>
      <w:divsChild>
        <w:div w:id="619459186">
          <w:marLeft w:val="0"/>
          <w:marRight w:val="0"/>
          <w:marTop w:val="0"/>
          <w:marBottom w:val="0"/>
          <w:divBdr>
            <w:top w:val="none" w:sz="0" w:space="0" w:color="auto"/>
            <w:left w:val="none" w:sz="0" w:space="0" w:color="auto"/>
            <w:bottom w:val="none" w:sz="0" w:space="0" w:color="auto"/>
            <w:right w:val="none" w:sz="0" w:space="0" w:color="auto"/>
          </w:divBdr>
          <w:divsChild>
            <w:div w:id="1408646189">
              <w:marLeft w:val="0"/>
              <w:marRight w:val="0"/>
              <w:marTop w:val="0"/>
              <w:marBottom w:val="0"/>
              <w:divBdr>
                <w:top w:val="none" w:sz="0" w:space="0" w:color="auto"/>
                <w:left w:val="none" w:sz="0" w:space="0" w:color="auto"/>
                <w:bottom w:val="none" w:sz="0" w:space="0" w:color="auto"/>
                <w:right w:val="none" w:sz="0" w:space="0" w:color="auto"/>
              </w:divBdr>
              <w:divsChild>
                <w:div w:id="1578057708">
                  <w:marLeft w:val="0"/>
                  <w:marRight w:val="0"/>
                  <w:marTop w:val="0"/>
                  <w:marBottom w:val="0"/>
                  <w:divBdr>
                    <w:top w:val="none" w:sz="0" w:space="0" w:color="auto"/>
                    <w:left w:val="none" w:sz="0" w:space="0" w:color="auto"/>
                    <w:bottom w:val="none" w:sz="0" w:space="0" w:color="auto"/>
                    <w:right w:val="none" w:sz="0" w:space="0" w:color="auto"/>
                  </w:divBdr>
                  <w:divsChild>
                    <w:div w:id="1299644628">
                      <w:marLeft w:val="0"/>
                      <w:marRight w:val="0"/>
                      <w:marTop w:val="0"/>
                      <w:marBottom w:val="0"/>
                      <w:divBdr>
                        <w:top w:val="none" w:sz="0" w:space="0" w:color="auto"/>
                        <w:left w:val="none" w:sz="0" w:space="0" w:color="auto"/>
                        <w:bottom w:val="none" w:sz="0" w:space="0" w:color="auto"/>
                        <w:right w:val="none" w:sz="0" w:space="0" w:color="auto"/>
                      </w:divBdr>
                      <w:divsChild>
                        <w:div w:id="1001664734">
                          <w:marLeft w:val="0"/>
                          <w:marRight w:val="0"/>
                          <w:marTop w:val="0"/>
                          <w:marBottom w:val="0"/>
                          <w:divBdr>
                            <w:top w:val="none" w:sz="0" w:space="0" w:color="auto"/>
                            <w:left w:val="none" w:sz="0" w:space="0" w:color="auto"/>
                            <w:bottom w:val="none" w:sz="0" w:space="0" w:color="auto"/>
                            <w:right w:val="none" w:sz="0" w:space="0" w:color="auto"/>
                          </w:divBdr>
                          <w:divsChild>
                            <w:div w:id="10991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545473">
      <w:bodyDiv w:val="1"/>
      <w:marLeft w:val="0"/>
      <w:marRight w:val="0"/>
      <w:marTop w:val="0"/>
      <w:marBottom w:val="0"/>
      <w:divBdr>
        <w:top w:val="none" w:sz="0" w:space="0" w:color="auto"/>
        <w:left w:val="none" w:sz="0" w:space="0" w:color="auto"/>
        <w:bottom w:val="none" w:sz="0" w:space="0" w:color="auto"/>
        <w:right w:val="none" w:sz="0" w:space="0" w:color="auto"/>
      </w:divBdr>
    </w:div>
    <w:div w:id="1487014375">
      <w:bodyDiv w:val="1"/>
      <w:marLeft w:val="0"/>
      <w:marRight w:val="0"/>
      <w:marTop w:val="0"/>
      <w:marBottom w:val="0"/>
      <w:divBdr>
        <w:top w:val="none" w:sz="0" w:space="0" w:color="auto"/>
        <w:left w:val="none" w:sz="0" w:space="0" w:color="auto"/>
        <w:bottom w:val="none" w:sz="0" w:space="0" w:color="auto"/>
        <w:right w:val="none" w:sz="0" w:space="0" w:color="auto"/>
      </w:divBdr>
    </w:div>
    <w:div w:id="1681275572">
      <w:bodyDiv w:val="1"/>
      <w:marLeft w:val="0"/>
      <w:marRight w:val="0"/>
      <w:marTop w:val="0"/>
      <w:marBottom w:val="0"/>
      <w:divBdr>
        <w:top w:val="none" w:sz="0" w:space="0" w:color="auto"/>
        <w:left w:val="none" w:sz="0" w:space="0" w:color="auto"/>
        <w:bottom w:val="none" w:sz="0" w:space="0" w:color="auto"/>
        <w:right w:val="none" w:sz="0" w:space="0" w:color="auto"/>
      </w:divBdr>
    </w:div>
    <w:div w:id="1785031763">
      <w:bodyDiv w:val="1"/>
      <w:marLeft w:val="0"/>
      <w:marRight w:val="0"/>
      <w:marTop w:val="0"/>
      <w:marBottom w:val="0"/>
      <w:divBdr>
        <w:top w:val="none" w:sz="0" w:space="0" w:color="auto"/>
        <w:left w:val="none" w:sz="0" w:space="0" w:color="auto"/>
        <w:bottom w:val="none" w:sz="0" w:space="0" w:color="auto"/>
        <w:right w:val="none" w:sz="0" w:space="0" w:color="auto"/>
      </w:divBdr>
      <w:divsChild>
        <w:div w:id="830753106">
          <w:marLeft w:val="0"/>
          <w:marRight w:val="0"/>
          <w:marTop w:val="0"/>
          <w:marBottom w:val="0"/>
          <w:divBdr>
            <w:top w:val="none" w:sz="0" w:space="0" w:color="auto"/>
            <w:left w:val="none" w:sz="0" w:space="0" w:color="auto"/>
            <w:bottom w:val="none" w:sz="0" w:space="0" w:color="auto"/>
            <w:right w:val="none" w:sz="0" w:space="0" w:color="auto"/>
          </w:divBdr>
          <w:divsChild>
            <w:div w:id="195777193">
              <w:marLeft w:val="0"/>
              <w:marRight w:val="0"/>
              <w:marTop w:val="0"/>
              <w:marBottom w:val="0"/>
              <w:divBdr>
                <w:top w:val="none" w:sz="0" w:space="0" w:color="auto"/>
                <w:left w:val="none" w:sz="0" w:space="0" w:color="auto"/>
                <w:bottom w:val="none" w:sz="0" w:space="0" w:color="auto"/>
                <w:right w:val="none" w:sz="0" w:space="0" w:color="auto"/>
              </w:divBdr>
              <w:divsChild>
                <w:div w:id="2045977796">
                  <w:marLeft w:val="0"/>
                  <w:marRight w:val="0"/>
                  <w:marTop w:val="0"/>
                  <w:marBottom w:val="0"/>
                  <w:divBdr>
                    <w:top w:val="none" w:sz="0" w:space="0" w:color="auto"/>
                    <w:left w:val="none" w:sz="0" w:space="0" w:color="auto"/>
                    <w:bottom w:val="none" w:sz="0" w:space="0" w:color="auto"/>
                    <w:right w:val="none" w:sz="0" w:space="0" w:color="auto"/>
                  </w:divBdr>
                  <w:divsChild>
                    <w:div w:id="461340057">
                      <w:marLeft w:val="0"/>
                      <w:marRight w:val="0"/>
                      <w:marTop w:val="0"/>
                      <w:marBottom w:val="0"/>
                      <w:divBdr>
                        <w:top w:val="none" w:sz="0" w:space="0" w:color="auto"/>
                        <w:left w:val="none" w:sz="0" w:space="0" w:color="auto"/>
                        <w:bottom w:val="none" w:sz="0" w:space="0" w:color="auto"/>
                        <w:right w:val="none" w:sz="0" w:space="0" w:color="auto"/>
                      </w:divBdr>
                      <w:divsChild>
                        <w:div w:id="601646651">
                          <w:marLeft w:val="0"/>
                          <w:marRight w:val="0"/>
                          <w:marTop w:val="0"/>
                          <w:marBottom w:val="0"/>
                          <w:divBdr>
                            <w:top w:val="none" w:sz="0" w:space="0" w:color="auto"/>
                            <w:left w:val="none" w:sz="0" w:space="0" w:color="auto"/>
                            <w:bottom w:val="none" w:sz="0" w:space="0" w:color="auto"/>
                            <w:right w:val="none" w:sz="0" w:space="0" w:color="auto"/>
                          </w:divBdr>
                          <w:divsChild>
                            <w:div w:id="11351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83012">
                  <w:marLeft w:val="0"/>
                  <w:marRight w:val="0"/>
                  <w:marTop w:val="0"/>
                  <w:marBottom w:val="0"/>
                  <w:divBdr>
                    <w:top w:val="none" w:sz="0" w:space="0" w:color="auto"/>
                    <w:left w:val="none" w:sz="0" w:space="0" w:color="auto"/>
                    <w:bottom w:val="none" w:sz="0" w:space="0" w:color="auto"/>
                    <w:right w:val="none" w:sz="0" w:space="0" w:color="auto"/>
                  </w:divBdr>
                  <w:divsChild>
                    <w:div w:id="1789154219">
                      <w:marLeft w:val="0"/>
                      <w:marRight w:val="0"/>
                      <w:marTop w:val="0"/>
                      <w:marBottom w:val="0"/>
                      <w:divBdr>
                        <w:top w:val="none" w:sz="0" w:space="0" w:color="auto"/>
                        <w:left w:val="none" w:sz="0" w:space="0" w:color="auto"/>
                        <w:bottom w:val="none" w:sz="0" w:space="0" w:color="auto"/>
                        <w:right w:val="none" w:sz="0" w:space="0" w:color="auto"/>
                      </w:divBdr>
                      <w:divsChild>
                        <w:div w:id="1576432244">
                          <w:marLeft w:val="0"/>
                          <w:marRight w:val="0"/>
                          <w:marTop w:val="0"/>
                          <w:marBottom w:val="0"/>
                          <w:divBdr>
                            <w:top w:val="none" w:sz="0" w:space="0" w:color="auto"/>
                            <w:left w:val="none" w:sz="0" w:space="0" w:color="auto"/>
                            <w:bottom w:val="none" w:sz="0" w:space="0" w:color="auto"/>
                            <w:right w:val="none" w:sz="0" w:space="0" w:color="auto"/>
                          </w:divBdr>
                          <w:divsChild>
                            <w:div w:id="35824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04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alet.e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upport@vialet.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alet.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info@viale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mn9IMyxOy3pJISAo+Gj+35XU1g==">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OAByITFXVDNkOUsxSHJqUDYxNzktWl9pVS1mTTRLTlY5a1U0WA==</go:docsCustomData>
</go:gDocsCustomXmlDataStorage>
</file>

<file path=customXml/itemProps1.xml><?xml version="1.0" encoding="utf-8"?>
<ds:datastoreItem xmlns:ds="http://schemas.openxmlformats.org/officeDocument/2006/customXml" ds:itemID="{C40982F6-48D8-4505-92DF-33784ED9D99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7</Pages>
  <Words>2150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KamilaG</dc:creator>
  <cp:keywords/>
  <dc:description/>
  <cp:lastModifiedBy>KamilaG</cp:lastModifiedBy>
  <cp:revision>22</cp:revision>
  <dcterms:created xsi:type="dcterms:W3CDTF">2024-05-02T09:13:00Z</dcterms:created>
  <dcterms:modified xsi:type="dcterms:W3CDTF">2024-08-13T12:55:00Z</dcterms:modified>
</cp:coreProperties>
</file>